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方正小标宋_GBK" w:cs="Times New Roman"/>
          <w:sz w:val="44"/>
          <w:szCs w:val="44"/>
        </w:rPr>
      </w:pPr>
      <w:r>
        <w:rPr>
          <w:rFonts w:hint="eastAsia" w:ascii="方正小标宋简体" w:eastAsia="方正小标宋简体" w:cs="Times New Roman"/>
          <w:kern w:val="0"/>
          <w:sz w:val="44"/>
          <w:szCs w:val="44"/>
          <w:shd w:val="clear" w:color="auto" w:fill="auto"/>
          <w:lang w:eastAsia="zh-CN"/>
        </w:rPr>
        <w:t>霸州市</w:t>
      </w:r>
      <w:r>
        <w:rPr>
          <w:rFonts w:hint="eastAsia" w:ascii="方正小标宋简体" w:eastAsia="方正小标宋简体" w:cs="Times New Roman"/>
          <w:kern w:val="0"/>
          <w:sz w:val="44"/>
          <w:szCs w:val="44"/>
          <w:shd w:val="clear" w:color="auto" w:fill="auto"/>
        </w:rPr>
        <w:t>人民检察院2017年部门预算信息公开</w:t>
      </w:r>
    </w:p>
    <w:p>
      <w:pPr>
        <w:ind w:firstLine="640" w:firstLineChars="200"/>
        <w:rPr>
          <w:rFonts w:ascii="Times New Roman" w:hAnsi="Times New Roman" w:eastAsia="方正仿宋_GBK" w:cs="Times New Roman"/>
          <w:sz w:val="32"/>
          <w:szCs w:val="32"/>
        </w:rPr>
      </w:pPr>
      <w:r>
        <w:rPr>
          <w:rFonts w:hint="eastAsia" w:ascii="仿宋" w:eastAsia="仿宋" w:cs="仿宋"/>
          <w:sz w:val="32"/>
          <w:szCs w:val="32"/>
        </w:rPr>
        <w:t>按照《预算法》、《地方预决算公开操作规程》和《河北</w:t>
      </w:r>
      <w:r>
        <w:rPr>
          <w:rFonts w:hint="eastAsia" w:ascii="仿宋" w:eastAsia="仿宋" w:cs="仿宋"/>
          <w:sz w:val="32"/>
          <w:szCs w:val="32"/>
          <w:lang w:eastAsia="zh-CN"/>
        </w:rPr>
        <w:t>省</w:t>
      </w:r>
      <w:r>
        <w:rPr>
          <w:rFonts w:hint="eastAsia" w:ascii="仿宋" w:eastAsia="仿宋" w:cs="仿宋"/>
          <w:sz w:val="32"/>
          <w:szCs w:val="32"/>
        </w:rPr>
        <w:t>省级预算公开办法》规定，现将</w:t>
      </w:r>
      <w:r>
        <w:rPr>
          <w:rFonts w:hint="eastAsia" w:ascii="仿宋" w:eastAsia="仿宋" w:cs="仿宋"/>
          <w:sz w:val="32"/>
          <w:szCs w:val="32"/>
          <w:lang w:eastAsia="zh-CN"/>
        </w:rPr>
        <w:t>霸州市人民检察院</w:t>
      </w:r>
      <w:r>
        <w:rPr>
          <w:rFonts w:hint="eastAsia" w:ascii="仿宋" w:eastAsia="仿宋" w:cs="仿宋"/>
          <w:sz w:val="32"/>
          <w:szCs w:val="32"/>
        </w:rPr>
        <w:t>2017年部门预算公开如下：</w:t>
      </w:r>
    </w:p>
    <w:p>
      <w:pPr>
        <w:ind w:firstLine="640"/>
        <w:rPr>
          <w:rFonts w:ascii="黑体" w:eastAsia="黑体" w:cs="Times New Roman"/>
          <w:sz w:val="32"/>
          <w:szCs w:val="32"/>
        </w:rPr>
      </w:pPr>
      <w:r>
        <w:rPr>
          <w:rFonts w:hint="eastAsia" w:ascii="黑体" w:eastAsia="黑体" w:cs="Times New Roman"/>
          <w:sz w:val="32"/>
          <w:szCs w:val="32"/>
        </w:rPr>
        <w:t>一、部门职责及机构设置情况</w:t>
      </w:r>
    </w:p>
    <w:p>
      <w:pPr>
        <w:ind w:firstLine="643" w:firstLineChars="200"/>
        <w:rPr>
          <w:rFonts w:hint="eastAsia" w:ascii="楷体_GB2312" w:eastAsia="楷体_GB2312" w:cs="仿宋"/>
          <w:b/>
          <w:sz w:val="32"/>
          <w:szCs w:val="32"/>
        </w:rPr>
      </w:pPr>
      <w:r>
        <w:rPr>
          <w:rFonts w:hint="eastAsia" w:ascii="楷体_GB2312" w:eastAsia="楷体_GB2312" w:cs="仿宋"/>
          <w:b/>
          <w:sz w:val="32"/>
          <w:szCs w:val="32"/>
        </w:rPr>
        <w:t>部门职责：</w:t>
      </w:r>
    </w:p>
    <w:p>
      <w:pPr>
        <w:spacing w:line="360" w:lineRule="auto"/>
        <w:ind w:firstLine="640" w:firstLineChars="200"/>
        <w:rPr>
          <w:rFonts w:hint="eastAsia" w:ascii="仿宋" w:eastAsia="仿宋" w:cs="仿宋"/>
          <w:sz w:val="32"/>
          <w:szCs w:val="32"/>
        </w:rPr>
      </w:pPr>
      <w:r>
        <w:rPr>
          <w:rFonts w:hint="eastAsia" w:ascii="仿宋" w:eastAsia="仿宋" w:cs="仿宋"/>
          <w:sz w:val="32"/>
          <w:szCs w:val="32"/>
          <w:lang w:eastAsia="zh-CN"/>
        </w:rPr>
        <w:t>一、</w:t>
      </w:r>
      <w:r>
        <w:rPr>
          <w:rFonts w:hint="eastAsia" w:ascii="仿宋" w:eastAsia="仿宋" w:cs="仿宋"/>
          <w:sz w:val="32"/>
          <w:szCs w:val="32"/>
        </w:rPr>
        <w:t>依法对贪污贿赂犯罪、国家工作人员渎职犯罪和国家机关工作人员利用职权实施的非法拘禁、刑讯逼供、报复陷害、非法搜查等侵犯公民人身权利和民主权利的犯罪立案侦查。</w:t>
      </w:r>
    </w:p>
    <w:p>
      <w:pPr>
        <w:spacing w:line="360" w:lineRule="auto"/>
        <w:ind w:firstLine="640" w:firstLineChars="200"/>
        <w:rPr>
          <w:rFonts w:hint="eastAsia" w:ascii="仿宋" w:eastAsia="仿宋" w:cs="仿宋"/>
          <w:sz w:val="32"/>
          <w:szCs w:val="32"/>
        </w:rPr>
      </w:pPr>
      <w:r>
        <w:rPr>
          <w:rFonts w:hint="eastAsia" w:ascii="仿宋" w:eastAsia="仿宋" w:cs="仿宋"/>
          <w:sz w:val="32"/>
          <w:szCs w:val="32"/>
          <w:lang w:eastAsia="zh-CN"/>
        </w:rPr>
        <w:t>二、</w:t>
      </w:r>
      <w:r>
        <w:rPr>
          <w:rFonts w:hint="eastAsia" w:ascii="仿宋" w:eastAsia="仿宋" w:cs="仿宋"/>
          <w:sz w:val="32"/>
          <w:szCs w:val="32"/>
        </w:rPr>
        <w:t>对重大刑事犯罪案件依法审查批捕、提起公诉、并对法院开庭审理的案件依法派员出席法庭，履行法律监督职责。</w:t>
      </w:r>
    </w:p>
    <w:p>
      <w:pPr>
        <w:spacing w:line="360" w:lineRule="auto"/>
        <w:ind w:firstLine="640" w:firstLineChars="200"/>
        <w:rPr>
          <w:rFonts w:hint="eastAsia" w:ascii="仿宋" w:eastAsia="仿宋" w:cs="仿宋"/>
          <w:sz w:val="32"/>
          <w:szCs w:val="32"/>
        </w:rPr>
      </w:pPr>
      <w:r>
        <w:rPr>
          <w:rFonts w:hint="eastAsia" w:ascii="仿宋" w:eastAsia="仿宋" w:cs="仿宋"/>
          <w:sz w:val="32"/>
          <w:szCs w:val="32"/>
          <w:lang w:eastAsia="zh-CN"/>
        </w:rPr>
        <w:t>三、</w:t>
      </w:r>
      <w:r>
        <w:rPr>
          <w:rFonts w:hint="eastAsia" w:ascii="仿宋" w:eastAsia="仿宋" w:cs="仿宋"/>
          <w:sz w:val="32"/>
          <w:szCs w:val="32"/>
        </w:rPr>
        <w:t>依法对民事诉讼、刑事审判和行政诉讼实行法律监督工作。</w:t>
      </w:r>
    </w:p>
    <w:p>
      <w:pPr>
        <w:spacing w:line="360" w:lineRule="auto"/>
        <w:ind w:firstLine="640" w:firstLineChars="200"/>
        <w:rPr>
          <w:rFonts w:hint="eastAsia" w:ascii="仿宋" w:eastAsia="仿宋" w:cs="仿宋"/>
          <w:sz w:val="32"/>
          <w:szCs w:val="32"/>
        </w:rPr>
      </w:pPr>
      <w:r>
        <w:rPr>
          <w:rFonts w:hint="eastAsia" w:ascii="仿宋" w:eastAsia="仿宋" w:cs="仿宋"/>
          <w:sz w:val="32"/>
          <w:szCs w:val="32"/>
          <w:lang w:eastAsia="zh-CN"/>
        </w:rPr>
        <w:t>四、</w:t>
      </w:r>
      <w:r>
        <w:rPr>
          <w:rFonts w:hint="eastAsia" w:ascii="仿宋" w:eastAsia="仿宋" w:cs="仿宋"/>
          <w:sz w:val="32"/>
          <w:szCs w:val="32"/>
        </w:rPr>
        <w:t>依法对执行机关执行刑罚的活动是否合法实行监督。</w:t>
      </w:r>
    </w:p>
    <w:p>
      <w:pPr>
        <w:spacing w:line="360" w:lineRule="auto"/>
        <w:ind w:firstLine="640" w:firstLineChars="200"/>
        <w:rPr>
          <w:rFonts w:hint="eastAsia" w:ascii="仿宋" w:eastAsia="仿宋" w:cs="仿宋"/>
          <w:sz w:val="32"/>
          <w:szCs w:val="32"/>
        </w:rPr>
      </w:pPr>
      <w:r>
        <w:rPr>
          <w:rFonts w:hint="eastAsia" w:ascii="仿宋" w:eastAsia="仿宋" w:cs="仿宋"/>
          <w:sz w:val="32"/>
          <w:szCs w:val="32"/>
          <w:lang w:eastAsia="zh-CN"/>
        </w:rPr>
        <w:t>五、</w:t>
      </w:r>
      <w:r>
        <w:rPr>
          <w:rFonts w:hint="eastAsia" w:ascii="仿宋" w:eastAsia="仿宋" w:cs="仿宋"/>
          <w:sz w:val="32"/>
          <w:szCs w:val="32"/>
        </w:rPr>
        <w:t>积极开展对国家机关工作人员的职务犯罪的预防工作，搞好职务犯罪预防的法制宣传。</w:t>
      </w:r>
    </w:p>
    <w:p>
      <w:pPr>
        <w:ind w:firstLine="643" w:firstLineChars="200"/>
        <w:rPr>
          <w:rFonts w:hint="eastAsia" w:ascii="楷体_GB2312" w:eastAsia="楷体_GB2312" w:cs="仿宋"/>
          <w:b/>
          <w:sz w:val="32"/>
          <w:szCs w:val="32"/>
        </w:rPr>
      </w:pPr>
      <w:r>
        <w:rPr>
          <w:rFonts w:hint="eastAsia" w:ascii="楷体_GB2312" w:eastAsia="楷体_GB2312" w:cs="仿宋"/>
          <w:b/>
          <w:sz w:val="32"/>
          <w:szCs w:val="32"/>
        </w:rPr>
        <w:t>机构设置：</w:t>
      </w:r>
    </w:p>
    <w:p>
      <w:pPr>
        <w:jc w:val="center"/>
        <w:outlineLvl w:val="0"/>
        <w:rPr>
          <w:rFonts w:hint="eastAsia" w:ascii="仿宋" w:eastAsia="仿宋" w:cs="仿宋"/>
          <w:sz w:val="32"/>
          <w:szCs w:val="32"/>
        </w:rPr>
      </w:pPr>
      <w:r>
        <w:rPr>
          <w:rFonts w:hint="eastAsia" w:ascii="仿宋" w:eastAsia="仿宋" w:cs="仿宋"/>
          <w:sz w:val="32"/>
          <w:szCs w:val="32"/>
        </w:rPr>
        <w:t>部门机构设置情况</w:t>
      </w:r>
    </w:p>
    <w:tbl>
      <w:tblPr>
        <w:tblStyle w:val="7"/>
        <w:tblW w:w="1021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963"/>
        <w:gridCol w:w="1614"/>
        <w:gridCol w:w="1626"/>
        <w:gridCol w:w="301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0" w:hRule="atLeast"/>
          <w:tblHeader/>
          <w:jc w:val="center"/>
        </w:trPr>
        <w:tc>
          <w:tcPr>
            <w:tcW w:w="3963" w:type="dxa"/>
            <w:vMerge w:val="restart"/>
            <w:shd w:val="clear" w:color="auto" w:fill="auto"/>
            <w:vAlign w:val="center"/>
          </w:tcPr>
          <w:p>
            <w:pPr>
              <w:spacing w:line="300" w:lineRule="exact"/>
              <w:jc w:val="center"/>
              <w:rPr>
                <w:rFonts w:hint="eastAsia" w:ascii="仿宋" w:eastAsia="仿宋" w:cs="仿宋"/>
                <w:b/>
                <w:sz w:val="32"/>
                <w:szCs w:val="32"/>
              </w:rPr>
            </w:pPr>
            <w:r>
              <w:rPr>
                <w:rFonts w:hint="eastAsia" w:ascii="仿宋" w:eastAsia="仿宋" w:cs="仿宋"/>
                <w:b/>
                <w:sz w:val="32"/>
                <w:szCs w:val="32"/>
              </w:rPr>
              <w:t>单位名称</w:t>
            </w:r>
          </w:p>
        </w:tc>
        <w:tc>
          <w:tcPr>
            <w:tcW w:w="1614" w:type="dxa"/>
            <w:vMerge w:val="restart"/>
            <w:shd w:val="clear" w:color="auto" w:fill="auto"/>
            <w:vAlign w:val="center"/>
          </w:tcPr>
          <w:p>
            <w:pPr>
              <w:spacing w:line="300" w:lineRule="exact"/>
              <w:jc w:val="center"/>
              <w:rPr>
                <w:rFonts w:hint="eastAsia" w:ascii="仿宋" w:eastAsia="仿宋" w:cs="仿宋"/>
                <w:b/>
                <w:sz w:val="32"/>
                <w:szCs w:val="32"/>
              </w:rPr>
            </w:pPr>
            <w:r>
              <w:rPr>
                <w:rFonts w:hint="eastAsia" w:ascii="仿宋" w:eastAsia="仿宋" w:cs="仿宋"/>
                <w:b/>
                <w:sz w:val="32"/>
                <w:szCs w:val="32"/>
              </w:rPr>
              <w:t>单位性质</w:t>
            </w:r>
          </w:p>
        </w:tc>
        <w:tc>
          <w:tcPr>
            <w:tcW w:w="1626" w:type="dxa"/>
            <w:vMerge w:val="restart"/>
            <w:shd w:val="clear" w:color="auto" w:fill="auto"/>
            <w:vAlign w:val="center"/>
          </w:tcPr>
          <w:p>
            <w:pPr>
              <w:spacing w:line="300" w:lineRule="exact"/>
              <w:jc w:val="center"/>
              <w:rPr>
                <w:rFonts w:hint="eastAsia" w:ascii="仿宋" w:eastAsia="仿宋" w:cs="仿宋"/>
                <w:b/>
                <w:sz w:val="32"/>
                <w:szCs w:val="32"/>
              </w:rPr>
            </w:pPr>
            <w:r>
              <w:rPr>
                <w:rFonts w:hint="eastAsia" w:ascii="仿宋" w:eastAsia="仿宋" w:cs="仿宋"/>
                <w:b/>
                <w:sz w:val="32"/>
                <w:szCs w:val="32"/>
              </w:rPr>
              <w:t>单位规格</w:t>
            </w:r>
          </w:p>
        </w:tc>
        <w:tc>
          <w:tcPr>
            <w:tcW w:w="3015" w:type="dxa"/>
            <w:vMerge w:val="restart"/>
            <w:shd w:val="clear" w:color="auto" w:fill="auto"/>
            <w:vAlign w:val="center"/>
          </w:tcPr>
          <w:p>
            <w:pPr>
              <w:spacing w:line="300" w:lineRule="exact"/>
              <w:jc w:val="center"/>
              <w:rPr>
                <w:rFonts w:hint="eastAsia" w:ascii="仿宋" w:eastAsia="仿宋" w:cs="仿宋"/>
                <w:b/>
                <w:sz w:val="32"/>
                <w:szCs w:val="32"/>
              </w:rPr>
            </w:pPr>
            <w:r>
              <w:rPr>
                <w:rFonts w:hint="eastAsia" w:ascii="仿宋" w:eastAsia="仿宋" w:cs="仿宋"/>
                <w:b/>
                <w:sz w:val="32"/>
                <w:szCs w:val="32"/>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00" w:hRule="atLeast"/>
          <w:tblHeader/>
          <w:jc w:val="center"/>
        </w:trPr>
        <w:tc>
          <w:tcPr>
            <w:tcW w:w="3963" w:type="dxa"/>
            <w:vMerge w:val="continue"/>
            <w:shd w:val="clear" w:color="auto" w:fill="auto"/>
            <w:vAlign w:val="center"/>
          </w:tcPr>
          <w:p/>
        </w:tc>
        <w:tc>
          <w:tcPr>
            <w:tcW w:w="1614" w:type="dxa"/>
            <w:vMerge w:val="continue"/>
            <w:shd w:val="clear" w:color="auto" w:fill="auto"/>
            <w:vAlign w:val="center"/>
          </w:tcPr>
          <w:p/>
        </w:tc>
        <w:tc>
          <w:tcPr>
            <w:tcW w:w="1626" w:type="dxa"/>
            <w:vMerge w:val="continue"/>
            <w:shd w:val="clear" w:color="auto" w:fill="auto"/>
            <w:vAlign w:val="center"/>
          </w:tcPr>
          <w:p/>
        </w:tc>
        <w:tc>
          <w:tcPr>
            <w:tcW w:w="3015" w:type="dxa"/>
            <w:vMerge w:val="continue"/>
            <w:shd w:val="clear" w:color="auto" w:fill="auto"/>
            <w:vAlign w:val="center"/>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0" w:hRule="atLeast"/>
          <w:jc w:val="center"/>
        </w:trPr>
        <w:tc>
          <w:tcPr>
            <w:tcW w:w="3963" w:type="dxa"/>
            <w:shd w:val="clear" w:color="auto" w:fill="auto"/>
            <w:vAlign w:val="center"/>
          </w:tcPr>
          <w:p>
            <w:pPr>
              <w:spacing w:line="300" w:lineRule="exact"/>
              <w:jc w:val="center"/>
              <w:rPr>
                <w:rFonts w:hint="eastAsia" w:ascii="仿宋" w:eastAsia="仿宋" w:cs="仿宋"/>
                <w:sz w:val="32"/>
                <w:szCs w:val="32"/>
                <w:lang w:eastAsia="zh-CN"/>
              </w:rPr>
            </w:pPr>
            <w:r>
              <w:rPr>
                <w:rFonts w:hint="eastAsia" w:ascii="仿宋" w:eastAsia="仿宋" w:cs="仿宋"/>
                <w:sz w:val="32"/>
                <w:szCs w:val="32"/>
                <w:lang w:eastAsia="zh-CN"/>
              </w:rPr>
              <w:t>霸州市人民检察院</w:t>
            </w:r>
          </w:p>
        </w:tc>
        <w:tc>
          <w:tcPr>
            <w:tcW w:w="1614" w:type="dxa"/>
            <w:shd w:val="clear" w:color="auto" w:fill="auto"/>
            <w:vAlign w:val="center"/>
          </w:tcPr>
          <w:p>
            <w:pPr>
              <w:spacing w:line="300" w:lineRule="exact"/>
              <w:jc w:val="center"/>
              <w:rPr>
                <w:rFonts w:hint="eastAsia" w:ascii="仿宋" w:eastAsia="仿宋" w:cs="仿宋"/>
                <w:sz w:val="32"/>
                <w:szCs w:val="32"/>
                <w:lang w:eastAsia="zh-CN"/>
              </w:rPr>
            </w:pPr>
            <w:r>
              <w:rPr>
                <w:rFonts w:hint="eastAsia" w:ascii="仿宋" w:eastAsia="仿宋" w:cs="仿宋"/>
                <w:sz w:val="32"/>
                <w:szCs w:val="32"/>
                <w:lang w:eastAsia="zh-CN"/>
              </w:rPr>
              <w:t>行政机关</w:t>
            </w:r>
          </w:p>
        </w:tc>
        <w:tc>
          <w:tcPr>
            <w:tcW w:w="1626" w:type="dxa"/>
            <w:shd w:val="clear" w:color="auto" w:fill="auto"/>
            <w:vAlign w:val="center"/>
          </w:tcPr>
          <w:p>
            <w:pPr>
              <w:spacing w:line="300" w:lineRule="exact"/>
              <w:jc w:val="center"/>
              <w:rPr>
                <w:rFonts w:hint="eastAsia" w:ascii="仿宋" w:eastAsia="仿宋" w:cs="仿宋"/>
                <w:sz w:val="32"/>
                <w:szCs w:val="32"/>
                <w:lang w:eastAsia="zh-CN"/>
              </w:rPr>
            </w:pPr>
            <w:r>
              <w:rPr>
                <w:rFonts w:hint="eastAsia" w:ascii="仿宋" w:eastAsia="仿宋" w:cs="仿宋"/>
                <w:sz w:val="32"/>
                <w:szCs w:val="32"/>
                <w:lang w:eastAsia="zh-CN"/>
              </w:rPr>
              <w:t>副处</w:t>
            </w:r>
          </w:p>
        </w:tc>
        <w:tc>
          <w:tcPr>
            <w:tcW w:w="3015" w:type="dxa"/>
            <w:shd w:val="clear" w:color="auto" w:fill="auto"/>
            <w:vAlign w:val="center"/>
          </w:tcPr>
          <w:p>
            <w:pPr>
              <w:spacing w:line="300" w:lineRule="exact"/>
              <w:jc w:val="center"/>
              <w:rPr>
                <w:rFonts w:hint="eastAsia" w:ascii="仿宋" w:eastAsia="仿宋" w:cs="仿宋"/>
                <w:sz w:val="32"/>
                <w:szCs w:val="32"/>
              </w:rPr>
            </w:pPr>
            <w:r>
              <w:rPr>
                <w:rFonts w:hint="eastAsia" w:ascii="仿宋" w:eastAsia="仿宋" w:cs="仿宋"/>
                <w:sz w:val="32"/>
                <w:szCs w:val="32"/>
                <w:lang w:eastAsia="zh-CN"/>
              </w:rPr>
              <w:t>财政拨款</w:t>
            </w:r>
          </w:p>
        </w:tc>
      </w:tr>
    </w:tbl>
    <w:p/>
    <w:p>
      <w:pPr>
        <w:ind w:firstLine="640"/>
        <w:rPr>
          <w:rFonts w:ascii="黑体" w:eastAsia="黑体" w:cs="Times New Roman"/>
          <w:sz w:val="32"/>
          <w:szCs w:val="32"/>
        </w:rPr>
      </w:pPr>
      <w:r>
        <w:rPr>
          <w:rFonts w:hint="eastAsia" w:ascii="黑体" w:eastAsia="黑体" w:cs="Times New Roman"/>
          <w:sz w:val="32"/>
          <w:szCs w:val="32"/>
        </w:rPr>
        <w:t>二、部门预算安排的总体情况</w:t>
      </w:r>
    </w:p>
    <w:p>
      <w:pPr>
        <w:ind w:firstLine="640"/>
        <w:rPr>
          <w:rFonts w:hint="eastAsia" w:ascii="仿宋" w:eastAsia="仿宋" w:cs="仿宋"/>
          <w:sz w:val="32"/>
          <w:szCs w:val="32"/>
        </w:rPr>
      </w:pPr>
      <w:r>
        <w:rPr>
          <w:rFonts w:hint="eastAsia" w:ascii="仿宋" w:eastAsia="仿宋" w:cs="仿宋"/>
          <w:sz w:val="32"/>
          <w:szCs w:val="32"/>
        </w:rPr>
        <w:t>按照预算管理有关规定，目前我</w:t>
      </w:r>
      <w:r>
        <w:rPr>
          <w:rFonts w:hint="eastAsia" w:ascii="仿宋" w:eastAsia="仿宋" w:cs="仿宋"/>
          <w:sz w:val="32"/>
          <w:szCs w:val="32"/>
          <w:lang w:eastAsia="zh-CN"/>
        </w:rPr>
        <w:t>院</w:t>
      </w:r>
      <w:r>
        <w:rPr>
          <w:rFonts w:hint="eastAsia" w:ascii="仿宋" w:eastAsia="仿宋" w:cs="仿宋"/>
          <w:sz w:val="32"/>
          <w:szCs w:val="32"/>
        </w:rPr>
        <w:t>部门预算的编制实行综合预算制度，即全部收入和支出都反映在预算中。</w:t>
      </w:r>
    </w:p>
    <w:p>
      <w:pPr>
        <w:ind w:firstLine="64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1、收入说明</w:t>
      </w:r>
    </w:p>
    <w:p>
      <w:pPr>
        <w:ind w:firstLine="640"/>
        <w:rPr>
          <w:rFonts w:hint="eastAsia" w:ascii="仿宋" w:eastAsia="仿宋" w:cs="仿宋"/>
          <w:sz w:val="32"/>
          <w:szCs w:val="32"/>
        </w:rPr>
      </w:pPr>
      <w:r>
        <w:rPr>
          <w:rFonts w:hint="eastAsia" w:ascii="仿宋" w:eastAsia="仿宋" w:cs="仿宋"/>
          <w:sz w:val="32"/>
          <w:szCs w:val="32"/>
          <w:lang w:eastAsia="zh-CN"/>
        </w:rPr>
        <w:t>反映本部门当年全部收入。河北省廊坊市人民检察院</w:t>
      </w:r>
      <w:r>
        <w:rPr>
          <w:rFonts w:hint="eastAsia" w:ascii="仿宋" w:eastAsia="仿宋" w:cs="仿宋"/>
          <w:sz w:val="32"/>
          <w:szCs w:val="32"/>
        </w:rPr>
        <w:t>2017年预算收入</w:t>
      </w:r>
      <w:r>
        <w:rPr>
          <w:rFonts w:hint="eastAsia" w:ascii="仿宋" w:eastAsia="仿宋" w:cs="仿宋"/>
          <w:sz w:val="32"/>
          <w:szCs w:val="32"/>
          <w:lang w:val="en-US" w:eastAsia="zh-CN"/>
        </w:rPr>
        <w:t>2469.22</w:t>
      </w:r>
      <w:r>
        <w:rPr>
          <w:rFonts w:hint="eastAsia" w:ascii="仿宋" w:eastAsia="仿宋" w:cs="仿宋"/>
          <w:sz w:val="32"/>
          <w:szCs w:val="32"/>
        </w:rPr>
        <w:t>万元，其中：一般公共预算收入</w:t>
      </w:r>
      <w:r>
        <w:rPr>
          <w:rFonts w:hint="eastAsia" w:ascii="仿宋" w:eastAsia="仿宋" w:cs="仿宋"/>
          <w:sz w:val="32"/>
          <w:szCs w:val="32"/>
          <w:lang w:val="en-US" w:eastAsia="zh-CN"/>
        </w:rPr>
        <w:t>2469.22</w:t>
      </w:r>
      <w:r>
        <w:rPr>
          <w:rFonts w:hint="eastAsia" w:ascii="仿宋" w:eastAsia="仿宋" w:cs="仿宋"/>
          <w:sz w:val="32"/>
          <w:szCs w:val="32"/>
        </w:rPr>
        <w:t>万元，</w:t>
      </w:r>
      <w:r>
        <w:rPr>
          <w:rFonts w:hint="eastAsia" w:ascii="仿宋" w:eastAsia="仿宋" w:cs="仿宋"/>
          <w:sz w:val="32"/>
          <w:szCs w:val="32"/>
          <w:lang w:eastAsia="zh-CN"/>
        </w:rPr>
        <w:t>政府性基金</w:t>
      </w:r>
      <w:r>
        <w:rPr>
          <w:rFonts w:hint="eastAsia" w:ascii="仿宋" w:eastAsia="仿宋" w:cs="仿宋"/>
          <w:sz w:val="32"/>
          <w:szCs w:val="32"/>
          <w:lang w:val="en-US" w:eastAsia="zh-CN"/>
        </w:rPr>
        <w:t>0万元，</w:t>
      </w:r>
      <w:r>
        <w:rPr>
          <w:rFonts w:hint="eastAsia" w:ascii="仿宋" w:eastAsia="仿宋" w:cs="仿宋"/>
          <w:sz w:val="32"/>
          <w:szCs w:val="32"/>
        </w:rPr>
        <w:t>事业收入</w:t>
      </w:r>
      <w:r>
        <w:rPr>
          <w:rFonts w:hint="eastAsia" w:ascii="仿宋" w:eastAsia="仿宋" w:cs="仿宋"/>
          <w:sz w:val="32"/>
          <w:szCs w:val="32"/>
          <w:lang w:val="en-US" w:eastAsia="zh-CN"/>
        </w:rPr>
        <w:t>0</w:t>
      </w:r>
      <w:r>
        <w:rPr>
          <w:rFonts w:hint="eastAsia" w:ascii="仿宋" w:eastAsia="仿宋" w:cs="仿宋"/>
          <w:sz w:val="32"/>
          <w:szCs w:val="32"/>
        </w:rPr>
        <w:t>万元，其他收入</w:t>
      </w:r>
      <w:r>
        <w:rPr>
          <w:rFonts w:hint="eastAsia" w:ascii="仿宋" w:eastAsia="仿宋" w:cs="仿宋"/>
          <w:sz w:val="32"/>
          <w:szCs w:val="32"/>
          <w:lang w:val="en-US" w:eastAsia="zh-CN"/>
        </w:rPr>
        <w:t>0</w:t>
      </w:r>
      <w:r>
        <w:rPr>
          <w:rFonts w:hint="eastAsia" w:ascii="仿宋" w:eastAsia="仿宋" w:cs="仿宋"/>
          <w:sz w:val="32"/>
          <w:szCs w:val="32"/>
        </w:rPr>
        <w:t>万元。</w:t>
      </w:r>
    </w:p>
    <w:p>
      <w:pPr>
        <w:ind w:firstLine="64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2、</w:t>
      </w:r>
      <w:r>
        <w:rPr>
          <w:rFonts w:hint="eastAsia" w:ascii="楷体_GB2312" w:hAnsi="楷体_GB2312" w:eastAsia="楷体_GB2312" w:cs="楷体_GB2312"/>
          <w:b/>
          <w:bCs/>
          <w:sz w:val="32"/>
          <w:szCs w:val="32"/>
          <w:lang w:eastAsia="zh-CN"/>
        </w:rPr>
        <w:t>支出</w:t>
      </w:r>
      <w:r>
        <w:rPr>
          <w:rFonts w:hint="eastAsia" w:ascii="楷体_GB2312" w:hAnsi="楷体_GB2312" w:eastAsia="楷体_GB2312" w:cs="楷体_GB2312"/>
          <w:b/>
          <w:bCs/>
          <w:sz w:val="32"/>
          <w:szCs w:val="32"/>
        </w:rPr>
        <w:t>说明</w:t>
      </w:r>
    </w:p>
    <w:p>
      <w:pPr>
        <w:ind w:firstLine="640"/>
        <w:rPr>
          <w:rFonts w:hint="eastAsia" w:ascii="仿宋" w:eastAsia="仿宋" w:cs="仿宋"/>
          <w:sz w:val="32"/>
          <w:szCs w:val="32"/>
        </w:rPr>
      </w:pPr>
      <w:r>
        <w:rPr>
          <w:rFonts w:hint="eastAsia" w:ascii="仿宋" w:eastAsia="仿宋" w:cs="仿宋"/>
          <w:sz w:val="32"/>
          <w:szCs w:val="32"/>
        </w:rPr>
        <w:t>收支预算总表支出栏、基本支出表、项目支出表按经济分类和支出功能分类科目编制，反映</w:t>
      </w:r>
      <w:r>
        <w:rPr>
          <w:rFonts w:hint="eastAsia" w:ascii="仿宋" w:eastAsia="仿宋" w:cs="仿宋"/>
          <w:sz w:val="32"/>
          <w:szCs w:val="32"/>
          <w:lang w:eastAsia="zh-CN"/>
        </w:rPr>
        <w:t>霸州市市人民检察院</w:t>
      </w:r>
      <w:r>
        <w:rPr>
          <w:rFonts w:hint="eastAsia" w:ascii="仿宋" w:eastAsia="仿宋" w:cs="仿宋"/>
          <w:sz w:val="32"/>
          <w:szCs w:val="32"/>
        </w:rPr>
        <w:t>年度部门预算中支出预算的总体情况。2017年支出预算</w:t>
      </w:r>
      <w:r>
        <w:rPr>
          <w:rFonts w:hint="eastAsia" w:ascii="仿宋" w:eastAsia="仿宋" w:cs="仿宋"/>
          <w:sz w:val="32"/>
          <w:szCs w:val="32"/>
          <w:lang w:val="en-US" w:eastAsia="zh-CN"/>
        </w:rPr>
        <w:t>2469.22</w:t>
      </w:r>
      <w:r>
        <w:rPr>
          <w:rFonts w:hint="eastAsia" w:ascii="仿宋" w:eastAsia="仿宋" w:cs="仿宋"/>
          <w:sz w:val="32"/>
          <w:szCs w:val="32"/>
        </w:rPr>
        <w:t>万元，其中基本支出</w:t>
      </w:r>
      <w:r>
        <w:rPr>
          <w:rFonts w:hint="eastAsia" w:ascii="仿宋" w:eastAsia="仿宋" w:cs="仿宋"/>
          <w:sz w:val="32"/>
          <w:szCs w:val="32"/>
          <w:lang w:val="en-US" w:eastAsia="zh-CN"/>
        </w:rPr>
        <w:t>1724.72</w:t>
      </w:r>
      <w:r>
        <w:rPr>
          <w:rFonts w:hint="eastAsia" w:ascii="仿宋" w:eastAsia="仿宋" w:cs="仿宋"/>
          <w:sz w:val="32"/>
          <w:szCs w:val="32"/>
        </w:rPr>
        <w:t>万元，包括人员经费和日常公用经费；项目支出</w:t>
      </w:r>
      <w:r>
        <w:rPr>
          <w:rFonts w:hint="eastAsia" w:ascii="仿宋" w:eastAsia="仿宋" w:cs="仿宋"/>
          <w:sz w:val="32"/>
          <w:szCs w:val="32"/>
          <w:lang w:val="en-US" w:eastAsia="zh-CN"/>
        </w:rPr>
        <w:t>744.5</w:t>
      </w:r>
      <w:r>
        <w:rPr>
          <w:rFonts w:hint="eastAsia" w:ascii="仿宋" w:eastAsia="仿宋" w:cs="仿宋"/>
          <w:sz w:val="32"/>
          <w:szCs w:val="32"/>
        </w:rPr>
        <w:t>万元，</w:t>
      </w:r>
      <w:r>
        <w:rPr>
          <w:rFonts w:hint="eastAsia" w:ascii="仿宋" w:eastAsia="仿宋" w:cs="仿宋"/>
          <w:sz w:val="32"/>
          <w:szCs w:val="32"/>
          <w:lang w:eastAsia="zh-CN"/>
        </w:rPr>
        <w:t>全部为</w:t>
      </w:r>
      <w:r>
        <w:rPr>
          <w:rFonts w:hint="eastAsia" w:ascii="仿宋" w:eastAsia="仿宋" w:cs="仿宋"/>
          <w:sz w:val="32"/>
          <w:szCs w:val="32"/>
        </w:rPr>
        <w:t>本级支出，主要为</w:t>
      </w:r>
      <w:r>
        <w:rPr>
          <w:rFonts w:hint="eastAsia" w:ascii="仿宋" w:eastAsia="仿宋" w:cs="仿宋"/>
          <w:sz w:val="32"/>
          <w:szCs w:val="32"/>
          <w:lang w:eastAsia="zh-CN"/>
        </w:rPr>
        <w:t>专项项目支出。</w:t>
      </w:r>
    </w:p>
    <w:p>
      <w:pPr>
        <w:ind w:firstLine="64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3、比上年增减情况</w:t>
      </w:r>
    </w:p>
    <w:p>
      <w:pPr>
        <w:ind w:firstLine="640"/>
        <w:rPr>
          <w:rFonts w:hint="eastAsia" w:ascii="仿宋" w:eastAsia="仿宋" w:cs="仿宋"/>
          <w:sz w:val="32"/>
          <w:szCs w:val="32"/>
        </w:rPr>
      </w:pPr>
      <w:r>
        <w:rPr>
          <w:rFonts w:hint="eastAsia" w:ascii="仿宋" w:eastAsia="仿宋" w:cs="仿宋"/>
          <w:sz w:val="32"/>
          <w:szCs w:val="32"/>
        </w:rPr>
        <w:t>2017年预算收支安排</w:t>
      </w:r>
      <w:r>
        <w:rPr>
          <w:rFonts w:hint="eastAsia" w:ascii="仿宋" w:eastAsia="仿宋" w:cs="仿宋"/>
          <w:sz w:val="32"/>
          <w:szCs w:val="32"/>
          <w:lang w:val="en-US" w:eastAsia="zh-CN"/>
        </w:rPr>
        <w:t>2469.22</w:t>
      </w:r>
      <w:r>
        <w:rPr>
          <w:rFonts w:hint="eastAsia" w:ascii="仿宋" w:eastAsia="仿宋" w:cs="仿宋"/>
          <w:sz w:val="32"/>
          <w:szCs w:val="32"/>
        </w:rPr>
        <w:t>万元，较2016年预算</w:t>
      </w:r>
      <w:r>
        <w:rPr>
          <w:rFonts w:hint="eastAsia" w:ascii="仿宋" w:eastAsia="仿宋" w:cs="仿宋"/>
          <w:color w:val="auto"/>
          <w:sz w:val="32"/>
          <w:szCs w:val="32"/>
          <w:highlight w:val="none"/>
          <w:shd w:val="clear" w:color="auto" w:fill="auto"/>
        </w:rPr>
        <w:t>增加</w:t>
      </w:r>
      <w:r>
        <w:rPr>
          <w:rFonts w:hint="eastAsia" w:ascii="仿宋" w:eastAsia="仿宋" w:cs="仿宋"/>
          <w:sz w:val="32"/>
          <w:szCs w:val="32"/>
          <w:lang w:val="en-US" w:eastAsia="zh-CN"/>
        </w:rPr>
        <w:t>877.29</w:t>
      </w:r>
      <w:r>
        <w:rPr>
          <w:rFonts w:hint="eastAsia" w:ascii="仿宋" w:eastAsia="仿宋" w:cs="仿宋"/>
          <w:sz w:val="32"/>
          <w:szCs w:val="32"/>
        </w:rPr>
        <w:t>万元，其中：基本支出</w:t>
      </w:r>
      <w:r>
        <w:rPr>
          <w:rFonts w:hint="eastAsia" w:ascii="仿宋" w:eastAsia="仿宋" w:cs="仿宋"/>
          <w:sz w:val="32"/>
          <w:szCs w:val="32"/>
          <w:highlight w:val="none"/>
        </w:rPr>
        <w:t>增加</w:t>
      </w:r>
      <w:r>
        <w:rPr>
          <w:rFonts w:hint="eastAsia" w:ascii="仿宋" w:eastAsia="仿宋" w:cs="仿宋"/>
          <w:sz w:val="32"/>
          <w:szCs w:val="32"/>
          <w:lang w:val="en-US" w:eastAsia="zh-CN"/>
        </w:rPr>
        <w:t>586.98</w:t>
      </w:r>
      <w:r>
        <w:rPr>
          <w:rFonts w:hint="eastAsia" w:ascii="仿宋" w:eastAsia="仿宋" w:cs="仿宋"/>
          <w:sz w:val="32"/>
          <w:szCs w:val="32"/>
        </w:rPr>
        <w:t>万元，主要为</w:t>
      </w:r>
      <w:r>
        <w:rPr>
          <w:rFonts w:hint="eastAsia" w:ascii="仿宋" w:eastAsia="仿宋" w:cs="仿宋"/>
          <w:sz w:val="32"/>
          <w:szCs w:val="32"/>
          <w:highlight w:val="none"/>
        </w:rPr>
        <w:t>增加人员经费支出</w:t>
      </w:r>
      <w:r>
        <w:rPr>
          <w:rFonts w:hint="eastAsia" w:ascii="仿宋" w:eastAsia="仿宋" w:cs="仿宋"/>
          <w:sz w:val="32"/>
          <w:szCs w:val="32"/>
        </w:rPr>
        <w:t>；项目支出</w:t>
      </w:r>
      <w:r>
        <w:rPr>
          <w:rFonts w:hint="eastAsia" w:ascii="仿宋" w:eastAsia="仿宋" w:cs="仿宋"/>
          <w:sz w:val="32"/>
          <w:szCs w:val="32"/>
          <w:highlight w:val="none"/>
        </w:rPr>
        <w:t>增加</w:t>
      </w:r>
      <w:r>
        <w:rPr>
          <w:rFonts w:hint="eastAsia" w:ascii="仿宋" w:eastAsia="仿宋" w:cs="仿宋"/>
          <w:sz w:val="32"/>
          <w:szCs w:val="32"/>
          <w:lang w:val="en-US" w:eastAsia="zh-CN"/>
        </w:rPr>
        <w:t>191.7</w:t>
      </w:r>
      <w:r>
        <w:rPr>
          <w:rFonts w:hint="eastAsia" w:ascii="仿宋" w:eastAsia="仿宋" w:cs="仿宋"/>
          <w:sz w:val="32"/>
          <w:szCs w:val="32"/>
        </w:rPr>
        <w:t>万元，主要为</w:t>
      </w:r>
      <w:r>
        <w:rPr>
          <w:rFonts w:hint="eastAsia" w:ascii="仿宋" w:eastAsia="仿宋" w:cs="仿宋"/>
          <w:sz w:val="32"/>
          <w:szCs w:val="32"/>
          <w:lang w:eastAsia="zh-CN"/>
        </w:rPr>
        <w:t>专项</w:t>
      </w:r>
      <w:r>
        <w:rPr>
          <w:rFonts w:hint="eastAsia" w:ascii="仿宋" w:eastAsia="仿宋" w:cs="仿宋"/>
          <w:sz w:val="32"/>
          <w:szCs w:val="32"/>
        </w:rPr>
        <w:t>项目支出。</w:t>
      </w:r>
    </w:p>
    <w:p>
      <w:pPr>
        <w:autoSpaceDE w:val="0"/>
        <w:autoSpaceDN w:val="0"/>
        <w:adjustRightInd w:val="0"/>
        <w:ind w:left="198" w:firstLine="640" w:firstLineChars="200"/>
        <w:jc w:val="left"/>
        <w:rPr>
          <w:rFonts w:ascii="黑体" w:eastAsia="黑体" w:cs="Times New Roman"/>
          <w:sz w:val="32"/>
          <w:szCs w:val="32"/>
        </w:rPr>
      </w:pPr>
      <w:r>
        <w:rPr>
          <w:rFonts w:hint="eastAsia" w:ascii="黑体" w:eastAsia="黑体" w:cs="Times New Roman"/>
          <w:sz w:val="32"/>
          <w:szCs w:val="32"/>
        </w:rPr>
        <w:t>三、机关运行经费安排情况</w:t>
      </w:r>
    </w:p>
    <w:p>
      <w:pPr>
        <w:autoSpaceDE w:val="0"/>
        <w:autoSpaceDN w:val="0"/>
        <w:adjustRightInd w:val="0"/>
        <w:ind w:left="198" w:firstLine="640" w:firstLineChars="200"/>
        <w:jc w:val="left"/>
        <w:rPr>
          <w:rFonts w:hint="eastAsia" w:ascii="仿宋" w:eastAsia="仿宋" w:cs="仿宋"/>
          <w:sz w:val="32"/>
          <w:szCs w:val="32"/>
        </w:rPr>
      </w:pPr>
      <w:r>
        <w:rPr>
          <w:rFonts w:hint="eastAsia" w:ascii="仿宋" w:eastAsia="仿宋" w:cs="仿宋"/>
          <w:sz w:val="32"/>
          <w:szCs w:val="32"/>
        </w:rPr>
        <w:t>机关运行经费共计安排</w:t>
      </w:r>
      <w:r>
        <w:rPr>
          <w:rFonts w:hint="eastAsia" w:ascii="仿宋" w:eastAsia="仿宋" w:cs="仿宋"/>
          <w:sz w:val="32"/>
          <w:szCs w:val="32"/>
          <w:lang w:val="en-US" w:eastAsia="zh-CN"/>
        </w:rPr>
        <w:t>101.9</w:t>
      </w:r>
      <w:r>
        <w:rPr>
          <w:rFonts w:hint="eastAsia" w:ascii="仿宋" w:eastAsia="仿宋" w:cs="仿宋"/>
          <w:sz w:val="32"/>
          <w:szCs w:val="32"/>
        </w:rPr>
        <w:t>万元，主要用于办公区的日常维修、办公用房水电费、办公用房取暖费、办公用房物业管理费等日常运行支出。</w:t>
      </w:r>
    </w:p>
    <w:p>
      <w:pPr>
        <w:autoSpaceDE w:val="0"/>
        <w:autoSpaceDN w:val="0"/>
        <w:adjustRightInd w:val="0"/>
        <w:ind w:left="198" w:firstLine="640" w:firstLineChars="200"/>
        <w:jc w:val="left"/>
        <w:rPr>
          <w:rFonts w:ascii="黑体" w:eastAsia="黑体" w:cs="Times New Roman"/>
          <w:sz w:val="32"/>
          <w:szCs w:val="32"/>
        </w:rPr>
      </w:pPr>
      <w:r>
        <w:rPr>
          <w:rFonts w:hint="eastAsia" w:ascii="黑体" w:eastAsia="黑体" w:cs="Times New Roman"/>
          <w:sz w:val="32"/>
          <w:szCs w:val="32"/>
        </w:rPr>
        <w:t>四、财政拨款</w:t>
      </w:r>
      <w:r>
        <w:rPr>
          <w:rFonts w:ascii="黑体" w:eastAsia="黑体" w:cs="Times New Roman"/>
          <w:sz w:val="32"/>
          <w:szCs w:val="32"/>
        </w:rPr>
        <w:t>“</w:t>
      </w:r>
      <w:r>
        <w:rPr>
          <w:rFonts w:hint="eastAsia" w:ascii="黑体" w:eastAsia="黑体" w:cs="Times New Roman"/>
          <w:sz w:val="32"/>
          <w:szCs w:val="32"/>
        </w:rPr>
        <w:t>三公</w:t>
      </w:r>
      <w:r>
        <w:rPr>
          <w:rFonts w:ascii="黑体" w:eastAsia="黑体" w:cs="Times New Roman"/>
          <w:sz w:val="32"/>
          <w:szCs w:val="32"/>
        </w:rPr>
        <w:t>”</w:t>
      </w:r>
      <w:r>
        <w:rPr>
          <w:rFonts w:hint="eastAsia" w:ascii="黑体" w:eastAsia="黑体" w:cs="Times New Roman"/>
          <w:sz w:val="32"/>
          <w:szCs w:val="32"/>
        </w:rPr>
        <w:t>经费预算情况及增减变化原因</w:t>
      </w:r>
    </w:p>
    <w:p>
      <w:pPr>
        <w:autoSpaceDE w:val="0"/>
        <w:autoSpaceDN w:val="0"/>
        <w:adjustRightInd w:val="0"/>
        <w:ind w:left="198" w:firstLine="640" w:firstLineChars="200"/>
        <w:jc w:val="left"/>
        <w:rPr>
          <w:rFonts w:hint="eastAsia" w:ascii="仿宋" w:eastAsia="仿宋" w:cs="仿宋"/>
          <w:sz w:val="32"/>
          <w:szCs w:val="32"/>
        </w:rPr>
      </w:pPr>
      <w:r>
        <w:rPr>
          <w:rFonts w:hint="eastAsia" w:ascii="仿宋" w:eastAsia="仿宋" w:cs="仿宋"/>
          <w:sz w:val="32"/>
          <w:szCs w:val="32"/>
        </w:rPr>
        <w:t>2017年，我</w:t>
      </w:r>
      <w:r>
        <w:rPr>
          <w:rFonts w:hint="eastAsia" w:ascii="仿宋" w:eastAsia="仿宋" w:cs="仿宋"/>
          <w:sz w:val="32"/>
          <w:szCs w:val="32"/>
          <w:highlight w:val="none"/>
          <w:lang w:eastAsia="zh-CN"/>
        </w:rPr>
        <w:t>院</w:t>
      </w:r>
      <w:r>
        <w:rPr>
          <w:rFonts w:hint="eastAsia" w:ascii="仿宋" w:eastAsia="仿宋" w:cs="仿宋"/>
          <w:sz w:val="32"/>
          <w:szCs w:val="32"/>
        </w:rPr>
        <w:t>“三公”经费预算安排</w:t>
      </w:r>
      <w:r>
        <w:rPr>
          <w:rFonts w:hint="eastAsia" w:ascii="仿宋" w:eastAsia="仿宋" w:cs="仿宋"/>
          <w:sz w:val="32"/>
          <w:szCs w:val="32"/>
          <w:lang w:val="en-US" w:eastAsia="zh-CN"/>
        </w:rPr>
        <w:t>72.2</w:t>
      </w:r>
      <w:r>
        <w:rPr>
          <w:rFonts w:hint="eastAsia" w:ascii="仿宋" w:eastAsia="仿宋" w:cs="仿宋"/>
          <w:sz w:val="32"/>
          <w:szCs w:val="32"/>
        </w:rPr>
        <w:t>万元，其中因公出国（境）费</w:t>
      </w:r>
      <w:r>
        <w:rPr>
          <w:rFonts w:hint="eastAsia" w:ascii="仿宋" w:eastAsia="仿宋" w:cs="仿宋"/>
          <w:sz w:val="32"/>
          <w:szCs w:val="32"/>
          <w:lang w:val="en-US" w:eastAsia="zh-CN"/>
        </w:rPr>
        <w:t>0</w:t>
      </w:r>
      <w:r>
        <w:rPr>
          <w:rFonts w:hint="eastAsia" w:ascii="仿宋" w:eastAsia="仿宋" w:cs="仿宋"/>
          <w:sz w:val="32"/>
          <w:szCs w:val="32"/>
        </w:rPr>
        <w:t>万元；公务用车购置及运维费</w:t>
      </w:r>
      <w:r>
        <w:rPr>
          <w:rFonts w:hint="eastAsia" w:ascii="仿宋" w:eastAsia="仿宋" w:cs="仿宋"/>
          <w:sz w:val="32"/>
          <w:szCs w:val="32"/>
          <w:lang w:val="en-US" w:eastAsia="zh-CN"/>
        </w:rPr>
        <w:t>65</w:t>
      </w:r>
      <w:r>
        <w:rPr>
          <w:rFonts w:hint="eastAsia" w:ascii="仿宋" w:eastAsia="仿宋" w:cs="仿宋"/>
          <w:sz w:val="32"/>
          <w:szCs w:val="32"/>
        </w:rPr>
        <w:t>万元（其中：公务用车购置费为</w:t>
      </w:r>
      <w:r>
        <w:rPr>
          <w:rFonts w:hint="eastAsia" w:ascii="仿宋" w:eastAsia="仿宋" w:cs="仿宋"/>
          <w:sz w:val="32"/>
          <w:szCs w:val="32"/>
          <w:lang w:val="en-US" w:eastAsia="zh-CN"/>
        </w:rPr>
        <w:t>0万元</w:t>
      </w:r>
      <w:r>
        <w:rPr>
          <w:rFonts w:hint="eastAsia" w:ascii="仿宋" w:eastAsia="仿宋" w:cs="仿宋"/>
          <w:sz w:val="32"/>
          <w:szCs w:val="32"/>
        </w:rPr>
        <w:t>，公务用车运行费</w:t>
      </w:r>
      <w:r>
        <w:rPr>
          <w:rFonts w:hint="eastAsia" w:ascii="仿宋" w:eastAsia="仿宋" w:cs="仿宋"/>
          <w:sz w:val="32"/>
          <w:szCs w:val="32"/>
          <w:lang w:val="en-US" w:eastAsia="zh-CN"/>
        </w:rPr>
        <w:t>65万</w:t>
      </w:r>
      <w:r>
        <w:rPr>
          <w:rFonts w:hint="eastAsia" w:ascii="仿宋" w:eastAsia="仿宋" w:cs="仿宋"/>
          <w:sz w:val="32"/>
          <w:szCs w:val="32"/>
        </w:rPr>
        <w:t>元)；公务接待费</w:t>
      </w:r>
      <w:r>
        <w:rPr>
          <w:rFonts w:hint="eastAsia" w:ascii="仿宋" w:eastAsia="仿宋" w:cs="仿宋"/>
          <w:sz w:val="32"/>
          <w:szCs w:val="32"/>
          <w:lang w:val="en-US" w:eastAsia="zh-CN"/>
        </w:rPr>
        <w:t>7.2</w:t>
      </w:r>
      <w:r>
        <w:rPr>
          <w:rFonts w:hint="eastAsia" w:ascii="仿宋" w:eastAsia="仿宋" w:cs="仿宋"/>
          <w:sz w:val="32"/>
          <w:szCs w:val="32"/>
        </w:rPr>
        <w:t>万元。与2016年</w:t>
      </w:r>
      <w:r>
        <w:rPr>
          <w:rFonts w:hint="eastAsia" w:ascii="仿宋" w:eastAsia="仿宋" w:cs="仿宋"/>
          <w:sz w:val="32"/>
          <w:szCs w:val="32"/>
          <w:highlight w:val="none"/>
        </w:rPr>
        <w:t>持平</w:t>
      </w:r>
      <w:r>
        <w:rPr>
          <w:rFonts w:hint="eastAsia" w:ascii="仿宋" w:eastAsia="仿宋" w:cs="仿宋"/>
          <w:sz w:val="32"/>
          <w:szCs w:val="32"/>
        </w:rPr>
        <w:t>，</w:t>
      </w:r>
      <w:r>
        <w:rPr>
          <w:rFonts w:hint="eastAsia" w:ascii="仿宋" w:eastAsia="仿宋" w:cs="仿宋"/>
          <w:sz w:val="32"/>
          <w:szCs w:val="32"/>
          <w:lang w:eastAsia="zh-CN"/>
        </w:rPr>
        <w:t>无增减变化</w:t>
      </w:r>
      <w:r>
        <w:rPr>
          <w:rFonts w:hint="eastAsia" w:ascii="仿宋" w:eastAsia="仿宋" w:cs="仿宋"/>
          <w:sz w:val="32"/>
          <w:szCs w:val="32"/>
        </w:rPr>
        <w:t>。</w:t>
      </w:r>
    </w:p>
    <w:p>
      <w:pPr>
        <w:ind w:firstLine="640"/>
        <w:rPr>
          <w:rFonts w:ascii="黑体" w:eastAsia="黑体" w:cs="Times New Roman"/>
          <w:sz w:val="32"/>
          <w:szCs w:val="32"/>
        </w:rPr>
      </w:pPr>
      <w:r>
        <w:rPr>
          <w:rFonts w:hint="eastAsia" w:ascii="黑体" w:eastAsia="黑体" w:cs="Times New Roman"/>
          <w:sz w:val="32"/>
          <w:szCs w:val="32"/>
        </w:rPr>
        <w:t>五、绩效预算信息</w:t>
      </w:r>
    </w:p>
    <w:p>
      <w:pPr>
        <w:ind w:firstLine="643" w:firstLineChars="200"/>
        <w:jc w:val="left"/>
        <w:rPr>
          <w:rFonts w:hint="eastAsia" w:ascii="楷体_GB2312" w:eastAsia="楷体_GB2312" w:cs="Times New Roman"/>
          <w:b/>
          <w:bCs/>
          <w:sz w:val="32"/>
          <w:szCs w:val="32"/>
        </w:rPr>
      </w:pPr>
      <w:bookmarkStart w:id="0" w:name="_Toc471398463"/>
      <w:r>
        <w:rPr>
          <w:rFonts w:hint="eastAsia" w:ascii="楷体_GB2312" w:eastAsia="楷体_GB2312" w:cs="Times New Roman"/>
          <w:b/>
          <w:bCs/>
          <w:sz w:val="32"/>
          <w:szCs w:val="32"/>
        </w:rPr>
        <w:t>总体绩效目标：</w:t>
      </w:r>
    </w:p>
    <w:p>
      <w:pPr>
        <w:widowControl/>
        <w:spacing w:line="360" w:lineRule="atLeast"/>
        <w:jc w:val="left"/>
        <w:rPr>
          <w:rFonts w:hint="eastAsia" w:ascii="仿宋_GB2312" w:eastAsia="仿宋_GB2312" w:cs="宋体"/>
          <w:color w:val="000000"/>
          <w:kern w:val="0"/>
          <w:sz w:val="32"/>
          <w:szCs w:val="32"/>
          <w:lang w:val="en-US" w:eastAsia="zh-CN" w:bidi="ar-SA"/>
        </w:rPr>
      </w:pPr>
      <w:r>
        <w:rPr>
          <w:rFonts w:hint="eastAsia" w:ascii="仿宋_GB2312" w:eastAsia="仿宋_GB2312" w:cs="宋体"/>
          <w:color w:val="000000"/>
          <w:kern w:val="0"/>
          <w:sz w:val="32"/>
          <w:szCs w:val="32"/>
          <w:lang w:val="en-US" w:eastAsia="zh-CN" w:bidi="ar-SA"/>
        </w:rPr>
        <w:t xml:space="preserve">    2017年霸州市人民检察院的目标规划是：深入贯彻党的十八大和十八届三中、四中、五中、六中全会精神，牢牢把握“强化法律监督，维护公平正义”检察工作主题，进一步深化全省“五检”总体工作布局，全面强化法律监督，全面履行检察职能，稳步推进司法改革。</w:t>
      </w:r>
    </w:p>
    <w:p>
      <w:pPr>
        <w:ind w:firstLine="643" w:firstLineChars="200"/>
        <w:jc w:val="left"/>
        <w:rPr>
          <w:rFonts w:ascii="Times New Roman" w:hAnsi="Times New Roman" w:eastAsia="方正仿宋_GBK" w:cs="Times New Roman"/>
          <w:b/>
          <w:sz w:val="32"/>
          <w:szCs w:val="32"/>
        </w:rPr>
      </w:pPr>
    </w:p>
    <w:p>
      <w:pPr>
        <w:jc w:val="center"/>
        <w:outlineLvl w:val="0"/>
        <w:rPr>
          <w:rFonts w:ascii="方正小标宋_GBK" w:eastAsia="方正小标宋_GBK" w:cs="Times New Roman"/>
          <w:sz w:val="32"/>
          <w:szCs w:val="24"/>
        </w:rPr>
      </w:pPr>
      <w:r>
        <w:rPr>
          <w:rFonts w:hint="eastAsia" w:ascii="方正小标宋_GBK" w:eastAsia="方正小标宋_GBK" w:cs="Times New Roman"/>
          <w:sz w:val="32"/>
          <w:szCs w:val="24"/>
        </w:rPr>
        <w:t>部门职责-工作活动绩效目标</w:t>
      </w:r>
      <w:bookmarkEnd w:id="0"/>
    </w:p>
    <w:tbl>
      <w:tblPr>
        <w:tblStyle w:val="7"/>
        <w:tblW w:w="13934"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341"/>
        <w:gridCol w:w="1276"/>
        <w:gridCol w:w="2976"/>
        <w:gridCol w:w="2976"/>
        <w:gridCol w:w="1417"/>
        <w:gridCol w:w="737"/>
        <w:gridCol w:w="737"/>
        <w:gridCol w:w="737"/>
        <w:gridCol w:w="7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tblHeader/>
          <w:jc w:val="center"/>
        </w:trPr>
        <w:tc>
          <w:tcPr>
            <w:tcW w:w="10986" w:type="dxa"/>
            <w:gridSpan w:val="5"/>
            <w:tcBorders>
              <w:top w:val="single" w:color="FFFFFF" w:sz="6" w:space="0"/>
              <w:left w:val="single" w:color="FFFFFF" w:sz="6" w:space="0"/>
              <w:right w:val="single" w:color="FFFFFF" w:sz="6" w:space="0"/>
            </w:tcBorders>
            <w:shd w:val="clear" w:color="auto" w:fill="auto"/>
            <w:vAlign w:val="center"/>
          </w:tcPr>
          <w:p>
            <w:pPr>
              <w:spacing w:line="300" w:lineRule="exact"/>
              <w:jc w:val="left"/>
              <w:rPr>
                <w:rFonts w:ascii="方正小标宋_GBK" w:eastAsia="方正小标宋_GBK"/>
                <w:sz w:val="24"/>
              </w:rPr>
            </w:pPr>
            <w:r>
              <w:rPr>
                <w:rFonts w:hint="eastAsia" w:ascii="方正小标宋_GBK" w:eastAsia="方正小标宋_GBK"/>
                <w:sz w:val="24"/>
                <w:lang w:val="en-US" w:eastAsia="zh-CN"/>
              </w:rPr>
              <w:t>404</w:t>
            </w:r>
            <w:r>
              <w:rPr>
                <w:rFonts w:hint="eastAsia" w:ascii="方正小标宋_GBK" w:eastAsia="方正小标宋_GBK"/>
                <w:sz w:val="24"/>
                <w:lang w:eastAsia="zh-CN"/>
              </w:rPr>
              <w:t>霸州</w:t>
            </w:r>
            <w:r>
              <w:rPr>
                <w:rFonts w:hint="eastAsia" w:ascii="方正小标宋_GBK" w:eastAsia="方正小标宋_GBK"/>
                <w:sz w:val="24"/>
              </w:rPr>
              <w:t>市人民检察院</w:t>
            </w:r>
          </w:p>
        </w:tc>
        <w:tc>
          <w:tcPr>
            <w:tcW w:w="2948" w:type="dxa"/>
            <w:gridSpan w:val="4"/>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sz w:val="24"/>
              </w:rPr>
            </w:pPr>
            <w:r>
              <w:rPr>
                <w:rFonts w:hint="eastAsia" w:ascii="方正书宋_GBK" w:eastAsia="方正书宋_GBK"/>
                <w:sz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tblHeader/>
          <w:jc w:val="center"/>
        </w:trPr>
        <w:tc>
          <w:tcPr>
            <w:tcW w:w="234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职责活动</w:t>
            </w:r>
          </w:p>
        </w:tc>
        <w:tc>
          <w:tcPr>
            <w:tcW w:w="12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年度预算数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内容描述</w:t>
            </w:r>
          </w:p>
        </w:tc>
        <w:tc>
          <w:tcPr>
            <w:tcW w:w="2976"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绩效目标</w:t>
            </w:r>
          </w:p>
        </w:tc>
        <w:tc>
          <w:tcPr>
            <w:tcW w:w="141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绩效指标</w:t>
            </w:r>
          </w:p>
        </w:tc>
        <w:tc>
          <w:tcPr>
            <w:tcW w:w="2948" w:type="dxa"/>
            <w:gridSpan w:val="4"/>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评价标准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tblHeader/>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vMerge w:val="continue"/>
            <w:shd w:val="clear" w:color="auto" w:fill="auto"/>
            <w:vAlign w:val="center"/>
          </w:tcP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优</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良</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中</w:t>
            </w:r>
          </w:p>
        </w:tc>
        <w:tc>
          <w:tcPr>
            <w:tcW w:w="737"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查办和预防职务犯罪</w:t>
            </w:r>
          </w:p>
        </w:tc>
        <w:tc>
          <w:tcPr>
            <w:tcW w:w="1276" w:type="dxa"/>
            <w:shd w:val="clear" w:color="auto" w:fill="auto"/>
            <w:vAlign w:val="center"/>
          </w:tcPr>
          <w:p>
            <w:pPr>
              <w:spacing w:line="300" w:lineRule="exact"/>
              <w:jc w:val="both"/>
              <w:rPr>
                <w:rFonts w:ascii="方正书宋_GBK" w:eastAsia="方正书宋_GBK"/>
              </w:rPr>
            </w:pPr>
          </w:p>
        </w:tc>
        <w:tc>
          <w:tcPr>
            <w:tcW w:w="2976"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通过查办和预防职务犯罪案件，促进国家工作人员依法行使职权。</w:t>
            </w:r>
          </w:p>
        </w:tc>
        <w:tc>
          <w:tcPr>
            <w:tcW w:w="2976" w:type="dxa"/>
            <w:shd w:val="clear" w:color="auto" w:fill="auto"/>
            <w:vAlign w:val="center"/>
          </w:tcPr>
          <w:p>
            <w:pPr>
              <w:spacing w:line="300" w:lineRule="exact"/>
              <w:jc w:val="center"/>
              <w:rPr>
                <w:rFonts w:hint="eastAsia" w:ascii="方正书宋_GBK" w:eastAsia="方正书宋_GBK"/>
                <w:lang w:eastAsia="zh-CN"/>
              </w:rPr>
            </w:pPr>
            <w:r>
              <w:rPr>
                <w:rFonts w:hint="eastAsia" w:ascii="方正书宋_GBK" w:eastAsia="方正书宋_GBK"/>
                <w:lang w:eastAsia="zh-CN"/>
              </w:rPr>
              <w:t>使我县查办贪污贿赂犯罪案和渎职侵权犯罪案件工作在全市检察系统位于先进行列</w:t>
            </w:r>
          </w:p>
        </w:tc>
        <w:tc>
          <w:tcPr>
            <w:tcW w:w="141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c>
          <w:tcPr>
            <w:tcW w:w="737" w:type="dxa"/>
            <w:shd w:val="clear" w:color="auto" w:fill="auto"/>
            <w:vAlign w:val="center"/>
          </w:tcPr>
          <w:p>
            <w:pPr>
              <w:spacing w:line="300" w:lineRule="exact"/>
              <w:jc w:val="center"/>
              <w:rPr>
                <w:rFonts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查办职务犯罪</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组织指挥或参与办理重大职务犯罪案件的侦查及个案协查工作；分析全</w:t>
            </w:r>
            <w:r>
              <w:rPr>
                <w:rFonts w:hint="eastAsia" w:ascii="方正书宋_GBK" w:eastAsia="方正书宋_GBK"/>
                <w:lang w:eastAsia="zh-CN"/>
              </w:rPr>
              <w:t>县</w:t>
            </w:r>
            <w:r>
              <w:rPr>
                <w:rFonts w:hint="eastAsia" w:ascii="方正书宋_GBK" w:eastAsia="方正书宋_GBK"/>
              </w:rPr>
              <w:t>职务犯罪的特点和规律，提出对策；研究制定全市反贪反渎检察业务工作细则、规定；</w:t>
            </w:r>
            <w:r>
              <w:rPr>
                <w:rFonts w:hint="eastAsia" w:ascii="方正书宋_GBK" w:eastAsia="方正书宋_GBK"/>
                <w:lang w:eastAsia="zh-CN"/>
              </w:rPr>
              <w:t>办理全县</w:t>
            </w:r>
            <w:r>
              <w:rPr>
                <w:rFonts w:hint="eastAsia" w:ascii="方正书宋_GBK" w:eastAsia="方正书宋_GBK"/>
              </w:rPr>
              <w:t>在逃职务犯罪案件追逃追赃工作，推进全市侦查信息化和装备现代化建设。</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使我</w:t>
            </w:r>
            <w:r>
              <w:rPr>
                <w:rFonts w:hint="eastAsia" w:ascii="方正书宋_GBK" w:eastAsia="方正书宋_GBK"/>
                <w:lang w:eastAsia="zh-CN"/>
              </w:rPr>
              <w:t>县</w:t>
            </w:r>
            <w:r>
              <w:rPr>
                <w:rFonts w:hint="eastAsia" w:ascii="方正书宋_GBK" w:eastAsia="方正书宋_GBK"/>
              </w:rPr>
              <w:t>查办贪污贿赂犯罪和渎职侵权犯罪案件工作在全</w:t>
            </w:r>
            <w:r>
              <w:rPr>
                <w:rFonts w:hint="eastAsia" w:ascii="方正书宋_GBK" w:eastAsia="方正书宋_GBK"/>
                <w:lang w:eastAsia="zh-CN"/>
              </w:rPr>
              <w:t>市</w:t>
            </w:r>
            <w:r>
              <w:rPr>
                <w:rFonts w:hint="eastAsia" w:ascii="方正书宋_GBK" w:eastAsia="方正书宋_GBK"/>
              </w:rPr>
              <w:t>检察系统位于先进行列</w:t>
            </w:r>
          </w:p>
        </w:tc>
        <w:tc>
          <w:tcPr>
            <w:tcW w:w="141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查办大要案比率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45%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35%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35%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案件侦结率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查办全市贪污贿赂犯罪和渎职侵权案件的比例</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预防职务犯罪</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履行检察机关重要的法律监督职能，采取多种方式，预防可能发生的职务犯罪。</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以个案预防、系统预防、专项预防、预防调查等多种形式努力从源头上遏制和减少职务犯罪。</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联合预防专项工作对象满意度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帮助预防单位建章立制</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2</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1</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0</w:t>
            </w:r>
            <w:r>
              <w:rPr>
                <w:rFonts w:hint="eastAsia" w:ascii="方正书宋_GBK" w:eastAsia="方正书宋_GBK"/>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预防服务和教育对象满意度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行贿犯罪档案查询满意度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行贿犯罪档案查询次数</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20</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联合预防专项行动实施次数</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2</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1</w:t>
            </w:r>
            <w:r>
              <w:rPr>
                <w:rFonts w:hint="eastAsia" w:ascii="方正书宋_GBK" w:eastAsia="方正书宋_GBK"/>
              </w:rPr>
              <w:t>次</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0</w:t>
            </w:r>
            <w:r>
              <w:rPr>
                <w:rFonts w:hint="eastAsia" w:ascii="方正书宋_GBK" w:eastAsia="方正书宋_GBK"/>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帮助预防单位建章立制</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w:t>
            </w:r>
            <w:r>
              <w:rPr>
                <w:rFonts w:hint="eastAsia" w:ascii="方正书宋_GBK" w:eastAsia="方正书宋_GBK"/>
              </w:rPr>
              <w:t>次</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2</w:t>
            </w:r>
            <w:r>
              <w:rPr>
                <w:rFonts w:hint="eastAsia" w:ascii="方正书宋_GBK" w:eastAsia="方正书宋_GBK"/>
              </w:rPr>
              <w:t>次</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w:t>
            </w:r>
            <w:r>
              <w:rPr>
                <w:rFonts w:hint="eastAsia" w:ascii="方正书宋_GBK" w:eastAsia="方正书宋_GBK"/>
              </w:rPr>
              <w:t>次</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0</w:t>
            </w:r>
            <w:r>
              <w:rPr>
                <w:rFonts w:hint="eastAsia" w:ascii="方正书宋_GBK" w:eastAsia="方正书宋_GBK"/>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预防服务和教育次数</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w:t>
            </w:r>
            <w:r>
              <w:rPr>
                <w:rFonts w:hint="eastAsia" w:ascii="方正书宋_GBK" w:eastAsia="方正书宋_GBK"/>
              </w:rPr>
              <w:t>次</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6</w:t>
            </w:r>
            <w:r>
              <w:rPr>
                <w:rFonts w:hint="eastAsia" w:ascii="方正书宋_GBK" w:eastAsia="方正书宋_GBK"/>
              </w:rPr>
              <w:t>次</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次</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4</w:t>
            </w:r>
            <w:r>
              <w:rPr>
                <w:rFonts w:hint="eastAsia" w:ascii="方正书宋_GBK" w:eastAsia="方正书宋_GBK"/>
              </w:rPr>
              <w:t>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检察监督</w:t>
            </w:r>
          </w:p>
        </w:tc>
        <w:tc>
          <w:tcPr>
            <w:tcW w:w="1276" w:type="dxa"/>
            <w:shd w:val="clear" w:color="auto" w:fill="auto"/>
            <w:vAlign w:val="center"/>
          </w:tcPr>
          <w:p>
            <w:pPr>
              <w:spacing w:line="300" w:lineRule="exact"/>
              <w:jc w:val="center"/>
              <w:rPr>
                <w:rFonts w:ascii="方正书宋_GBK" w:eastAsia="方正书宋_GBK"/>
              </w:rPr>
            </w:pP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对侦查机关的侦查活动、人民法院的审判活动、监狱看守所等机关执行刑罚的活动，依法实行法律监督，维护司法公正。</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打击犯罪、保障人权、维护司法公正。</w:t>
            </w:r>
          </w:p>
        </w:tc>
        <w:tc>
          <w:tcPr>
            <w:tcW w:w="141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侦查监督</w:t>
            </w:r>
          </w:p>
        </w:tc>
        <w:tc>
          <w:tcPr>
            <w:tcW w:w="1276" w:type="dxa"/>
            <w:vMerge w:val="restart"/>
            <w:shd w:val="clear" w:color="auto" w:fill="auto"/>
            <w:vAlign w:val="center"/>
          </w:tcPr>
          <w:p>
            <w:pPr>
              <w:spacing w:line="300" w:lineRule="exact"/>
              <w:jc w:val="both"/>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侦查监督职能的行使贯穿刑事立案到侦查终结全过程。主要包括审查逮捕、立案监督和侦查活动监督等职能。</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打击犯罪、保障人权、维护司法公正。</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批延准确率</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错捕、捕后撤案、不起诉、判无罪率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1%</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立案和侦查活动监督完成率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公诉和审判监督</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审查起诉；对上诉、抗诉案件及再审案件进行审查；出庭支持公诉</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全面审查案件事实，核实证据，依法提出审查意见，打击犯罪，保障人权，维护司法公正。</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出庭意见采纳数</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诉讼期限内审结案件占全部案件比例</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办理案件数</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264</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198</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198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民事行政诉讼监督</w:t>
            </w:r>
          </w:p>
        </w:tc>
        <w:tc>
          <w:tcPr>
            <w:tcW w:w="1276" w:type="dxa"/>
            <w:vMerge w:val="restart"/>
            <w:shd w:val="clear" w:color="auto" w:fill="auto"/>
            <w:vAlign w:val="center"/>
          </w:tcPr>
          <w:p>
            <w:pPr>
              <w:spacing w:line="300" w:lineRule="exact"/>
              <w:jc w:val="left"/>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依法对民事诉讼和行政诉讼实行法律监督，维护司法公正和司法权威，保障国家法律的统一正确实施</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加大办案力度，提高办案质量。</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当事人对民事行政申请监督案件满意度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抗诉案件再审改变率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检察建议采纳率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案件审结率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不支持监督申请决定息讼息访率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刑事执行检察</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依法对刑罚执行、刑事强制措施执行、强制医疗执行等刑事执行活动是否合法实行法律监督，维护刑事执行公平公正，维护刑事执行场所监管秩序稳定、维护刑事被执行人合法权益、维护社会和谐稳定，保障国家法律、法规统一正确实施。</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保障刑罚执行和刑事执行活动的依法有序进行。</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建设一级规范化监察室数量</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r>
              <w:rPr>
                <w:rFonts w:hint="eastAsia" w:ascii="方正书宋_GBK" w:eastAsia="方正书宋_GBK"/>
              </w:rPr>
              <w:t>个</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w:t>
            </w:r>
            <w:r>
              <w:rPr>
                <w:rFonts w:hint="eastAsia" w:ascii="方正书宋_GBK" w:eastAsia="方正书宋_GBK"/>
              </w:rPr>
              <w:t>个</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个</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r>
              <w:rPr>
                <w:rFonts w:hint="eastAsia" w:ascii="方正书宋_GBK" w:eastAsia="方正书宋_GBK"/>
              </w:rPr>
              <w:t>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监督行为及效果满意度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纠正意见或建议的采纳率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未成年人刑事检察</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办理</w:t>
            </w:r>
            <w:r>
              <w:rPr>
                <w:rFonts w:hint="eastAsia" w:ascii="方正书宋_GBK" w:eastAsia="方正书宋_GBK"/>
                <w:lang w:eastAsia="zh-CN"/>
              </w:rPr>
              <w:t>全县</w:t>
            </w:r>
            <w:r>
              <w:rPr>
                <w:rFonts w:hint="eastAsia" w:ascii="方正书宋_GBK" w:eastAsia="方正书宋_GBK"/>
              </w:rPr>
              <w:t>检察机关未成年人犯罪案件的审查逮捕、审查起诉工作，依法履行立案监督、侦查活动监督、审判监督、执行监督职能；开展预防未成年人犯罪综合治理工作；依法保护刑事案件未成年被害人的合法权益。</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使我</w:t>
            </w:r>
            <w:r>
              <w:rPr>
                <w:rFonts w:hint="eastAsia" w:ascii="方正书宋_GBK" w:eastAsia="方正书宋_GBK"/>
                <w:lang w:eastAsia="zh-CN"/>
              </w:rPr>
              <w:t>县</w:t>
            </w:r>
            <w:r>
              <w:rPr>
                <w:rFonts w:hint="eastAsia" w:ascii="方正书宋_GBK" w:eastAsia="方正书宋_GBK"/>
              </w:rPr>
              <w:t>未检在全省检察机关位于先进行列</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特殊检察制度适用率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附条件不起诉率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附条件不起诉率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03%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未成年人刑事案件办理率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未成年人刑事案件指导率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不捕、不诉率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30%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20%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案件办结率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司法辅助</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保障办案安全、</w:t>
            </w:r>
            <w:r>
              <w:rPr>
                <w:rFonts w:hint="eastAsia" w:ascii="方正书宋_GBK" w:eastAsia="方正书宋_GBK"/>
                <w:lang w:eastAsia="zh-CN"/>
              </w:rPr>
              <w:t>开展全县</w:t>
            </w:r>
            <w:r>
              <w:rPr>
                <w:rFonts w:hint="eastAsia" w:ascii="方正书宋_GBK" w:eastAsia="方正书宋_GBK"/>
              </w:rPr>
              <w:t>检察机关技术工作和物证检验、鉴定、审核等工作。</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加强各项检察辅助职能，为检察业务提供有力保障。</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委托方满意度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司法鉴定案件办结率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委托方满意度</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司法鉴定案件办结率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司法鉴定案件办结率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司法鉴定案件办结率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45%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控告和刑事申诉检察</w:t>
            </w:r>
          </w:p>
        </w:tc>
        <w:tc>
          <w:tcPr>
            <w:tcW w:w="1276" w:type="dxa"/>
            <w:shd w:val="clear" w:color="auto" w:fill="auto"/>
            <w:vAlign w:val="center"/>
          </w:tcPr>
          <w:p>
            <w:pPr>
              <w:spacing w:line="300" w:lineRule="exact"/>
              <w:jc w:val="center"/>
              <w:rPr>
                <w:rFonts w:ascii="方正书宋_GBK" w:eastAsia="方正书宋_GBK"/>
              </w:rPr>
            </w:pPr>
          </w:p>
        </w:tc>
        <w:tc>
          <w:tcPr>
            <w:tcW w:w="2976" w:type="dxa"/>
            <w:shd w:val="clear" w:color="auto" w:fill="auto"/>
            <w:vAlign w:val="center"/>
          </w:tcPr>
          <w:p>
            <w:pPr>
              <w:spacing w:line="300" w:lineRule="exact"/>
              <w:jc w:val="center"/>
              <w:rPr>
                <w:rFonts w:hint="eastAsia" w:ascii="方正书宋_GBK" w:eastAsia="方正书宋_GBK"/>
                <w:lang w:eastAsia="zh-CN"/>
              </w:rPr>
            </w:pPr>
            <w:r>
              <w:rPr>
                <w:rFonts w:hint="eastAsia" w:ascii="方正书宋_GBK" w:eastAsia="方正书宋_GBK"/>
                <w:color w:val="000000" w:themeColor="text1"/>
                <w:lang w:eastAsia="zh-CN"/>
                <w14:textFill>
                  <w14:solidFill>
                    <w14:schemeClr w14:val="tx1"/>
                  </w14:solidFill>
                </w14:textFill>
              </w:rPr>
              <w:t>受理来信来访、举报、国家赔偿、司法救助工作，受理民事监督案件办理县院管辖的信访、举报案件、国家赔偿、司法救助案件以及上级机关交办、转办、督办案件。</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构建依法有序信访秩序，及时依法解决群众诉求。</w:t>
            </w:r>
          </w:p>
        </w:tc>
        <w:tc>
          <w:tcPr>
            <w:tcW w:w="141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bookmarkStart w:id="2" w:name="_GoBack"/>
            <w:bookmarkEnd w:id="2"/>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涉检信访办理</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统一受理报案、控告、举报、申诉和犯罪嫌疑人投案自首，办理对公检法三机关及工作人员阻碍辩护人、诉讼代理人依法行使诉讼权利的控告或申诉，办理对本院办案中违法行为的控告或申诉，受理民事监督案件。</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构建依法有序信访秩序，及时依法解决群众诉求。</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有效化解涉检信访矛盾率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错案率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法定期限内办结率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70%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restart"/>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举报管理、刑事申诉及涉检国家赔偿和司法救助</w:t>
            </w:r>
          </w:p>
        </w:tc>
        <w:tc>
          <w:tcPr>
            <w:tcW w:w="1276" w:type="dxa"/>
            <w:vMerge w:val="restart"/>
            <w:shd w:val="clear" w:color="auto" w:fill="auto"/>
            <w:vAlign w:val="center"/>
          </w:tcPr>
          <w:p>
            <w:pPr>
              <w:spacing w:line="300" w:lineRule="exact"/>
              <w:jc w:val="center"/>
              <w:rPr>
                <w:rFonts w:ascii="方正书宋_GBK" w:eastAsia="方正书宋_GBK"/>
              </w:rPr>
            </w:pP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受理初核对国家工作人员职务犯罪的举报；统一办理人民检察院作为赔偿义务机关的刑事赔偿案件，对人民法院赔偿委员会判决、裁定进行监督，开展司法救助工作。</w:t>
            </w:r>
          </w:p>
        </w:tc>
        <w:tc>
          <w:tcPr>
            <w:tcW w:w="2976" w:type="dxa"/>
            <w:vMerge w:val="restart"/>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加强和改进举报工作，保护申诉人合法权益</w:t>
            </w:r>
            <w:r>
              <w:rPr>
                <w:rFonts w:hint="eastAsia" w:ascii="方正书宋_GBK" w:eastAsia="方正书宋_GBK"/>
                <w:lang w:eastAsia="zh-CN"/>
              </w:rPr>
              <w:t>。</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法定期限内办结率</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涉检国家赔偿和刑事申诉案件错案率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涉检国家赔偿和刑事申诉案件错案率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国家赔偿率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举报线索处置率</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刑事申诉案件结案率</w:t>
            </w:r>
          </w:p>
        </w:tc>
        <w:tc>
          <w:tcPr>
            <w:tcW w:w="737" w:type="dxa"/>
            <w:shd w:val="clear" w:color="auto" w:fill="auto"/>
            <w:vAlign w:val="center"/>
          </w:tcPr>
          <w:p>
            <w:pPr>
              <w:spacing w:line="300" w:lineRule="exact"/>
              <w:jc w:val="center"/>
              <w:rPr>
                <w:rFonts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vMerge w:val="continue"/>
            <w:shd w:val="clear" w:color="auto" w:fill="auto"/>
            <w:vAlign w:val="center"/>
          </w:tcPr>
          <w:p/>
        </w:tc>
        <w:tc>
          <w:tcPr>
            <w:tcW w:w="1276" w:type="dxa"/>
            <w:vMerge w:val="continue"/>
            <w:shd w:val="clear" w:color="auto" w:fill="auto"/>
            <w:vAlign w:val="center"/>
          </w:tcPr>
          <w:p/>
        </w:tc>
        <w:tc>
          <w:tcPr>
            <w:tcW w:w="2976" w:type="dxa"/>
            <w:vMerge w:val="continue"/>
            <w:shd w:val="clear" w:color="auto" w:fill="auto"/>
            <w:vAlign w:val="center"/>
          </w:tcPr>
          <w:p/>
        </w:tc>
        <w:tc>
          <w:tcPr>
            <w:tcW w:w="2976" w:type="dxa"/>
            <w:vMerge w:val="continue"/>
            <w:shd w:val="clear" w:color="auto" w:fill="auto"/>
            <w:vAlign w:val="center"/>
          </w:tcP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司法救助率</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80%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检察事务管理</w:t>
            </w:r>
          </w:p>
        </w:tc>
        <w:tc>
          <w:tcPr>
            <w:tcW w:w="1276" w:type="dxa"/>
            <w:shd w:val="clear" w:color="auto" w:fill="auto"/>
            <w:vAlign w:val="center"/>
          </w:tcPr>
          <w:p>
            <w:pPr>
              <w:spacing w:line="300" w:lineRule="exact"/>
              <w:jc w:val="both"/>
              <w:rPr>
                <w:rFonts w:hint="eastAsia" w:ascii="方正书宋_GBK" w:eastAsia="方正书宋_GBK"/>
                <w:lang w:val="en-US" w:eastAsia="zh-CN"/>
              </w:rPr>
            </w:pPr>
            <w:r>
              <w:rPr>
                <w:rFonts w:hint="eastAsia" w:ascii="方正书宋_GBK" w:eastAsia="方正书宋_GBK"/>
                <w:lang w:val="en-US" w:eastAsia="zh-CN"/>
              </w:rPr>
              <w:t>744.5</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承担系统综合业务管理和综合事务管理工作</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提高执法水平和办案质量、提升检察机关法律监督能力。</w:t>
            </w:r>
          </w:p>
        </w:tc>
        <w:tc>
          <w:tcPr>
            <w:tcW w:w="141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c>
          <w:tcPr>
            <w:tcW w:w="737" w:type="dxa"/>
            <w:shd w:val="clear" w:color="auto" w:fill="auto"/>
            <w:vAlign w:val="center"/>
          </w:tcPr>
          <w:p>
            <w:pPr>
              <w:spacing w:line="300" w:lineRule="exact"/>
              <w:jc w:val="center"/>
              <w:rPr>
                <w:rFonts w:hint="eastAsia" w:ascii="方正书宋_GBK" w:eastAsia="方正书宋_GBK"/>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综合业务管理</w:t>
            </w:r>
          </w:p>
        </w:tc>
        <w:tc>
          <w:tcPr>
            <w:tcW w:w="1276" w:type="dxa"/>
            <w:shd w:val="clear" w:color="auto" w:fill="auto"/>
            <w:vAlign w:val="center"/>
          </w:tcPr>
          <w:p>
            <w:pPr>
              <w:spacing w:line="300" w:lineRule="exact"/>
              <w:jc w:val="both"/>
              <w:rPr>
                <w:rFonts w:hint="eastAsia" w:ascii="方正书宋_GBK" w:eastAsia="方正书宋_GBK"/>
                <w:lang w:val="en-US" w:eastAsia="zh-CN"/>
              </w:rPr>
            </w:pPr>
            <w:r>
              <w:rPr>
                <w:rFonts w:hint="eastAsia" w:ascii="方正书宋_GBK" w:eastAsia="方正书宋_GBK"/>
                <w:lang w:val="en-US" w:eastAsia="zh-CN"/>
              </w:rPr>
              <w:t>553</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确定全</w:t>
            </w:r>
            <w:r>
              <w:rPr>
                <w:rFonts w:hint="eastAsia" w:ascii="方正书宋_GBK" w:eastAsia="方正书宋_GBK"/>
                <w:lang w:eastAsia="zh-CN"/>
              </w:rPr>
              <w:t>县</w:t>
            </w:r>
            <w:r>
              <w:rPr>
                <w:rFonts w:hint="eastAsia" w:ascii="方正书宋_GBK" w:eastAsia="方正书宋_GBK"/>
              </w:rPr>
              <w:t>检察阶段性的工作重点和措施，部署检察工作任务；进行案件质量保证体系建设；开展涉农检察工作；参与社会管理综合治理等工作；推进行政执法与刑事司法无缝对接；进行法律政策研究工作；加强人民监督员和人大代表监督；统筹进行网络信息化建设；开展检察宣传工作；推进检务公开。</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提高执法水平和办案质量、提升检察机关法律监督能力。</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各项综合业务管理工作完成率</w:t>
            </w:r>
          </w:p>
        </w:tc>
        <w:tc>
          <w:tcPr>
            <w:tcW w:w="737" w:type="dxa"/>
            <w:shd w:val="clear" w:color="auto" w:fill="auto"/>
            <w:vAlign w:val="center"/>
          </w:tcPr>
          <w:p>
            <w:pPr>
              <w:spacing w:line="300" w:lineRule="exact"/>
              <w:jc w:val="center"/>
              <w:rPr>
                <w:rFonts w:hint="eastAsia"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227" w:hRule="atLeast"/>
          <w:jc w:val="center"/>
        </w:trPr>
        <w:tc>
          <w:tcPr>
            <w:tcW w:w="2341" w:type="dxa"/>
            <w:shd w:val="clear" w:color="auto" w:fill="auto"/>
            <w:vAlign w:val="center"/>
          </w:tcPr>
          <w:p>
            <w:pPr>
              <w:spacing w:line="300" w:lineRule="exact"/>
              <w:jc w:val="center"/>
              <w:rPr>
                <w:rFonts w:hint="eastAsia" w:ascii="方正书宋_GBK" w:eastAsia="方正书宋_GBK"/>
                <w:b/>
              </w:rPr>
            </w:pPr>
            <w:r>
              <w:rPr>
                <w:rFonts w:hint="eastAsia" w:ascii="方正书宋_GBK" w:eastAsia="方正书宋_GBK"/>
                <w:b/>
              </w:rPr>
              <w:t>综合事务管理</w:t>
            </w:r>
          </w:p>
        </w:tc>
        <w:tc>
          <w:tcPr>
            <w:tcW w:w="1276" w:type="dxa"/>
            <w:shd w:val="clear" w:color="auto" w:fill="auto"/>
            <w:vAlign w:val="center"/>
          </w:tcPr>
          <w:p>
            <w:pPr>
              <w:spacing w:line="300" w:lineRule="exact"/>
              <w:jc w:val="both"/>
              <w:rPr>
                <w:rFonts w:hint="eastAsia" w:ascii="方正书宋_GBK" w:eastAsia="方正书宋_GBK"/>
                <w:lang w:val="en-US" w:eastAsia="zh-CN"/>
              </w:rPr>
            </w:pPr>
            <w:r>
              <w:rPr>
                <w:rFonts w:hint="eastAsia" w:ascii="方正书宋_GBK" w:eastAsia="方正书宋_GBK"/>
                <w:lang w:val="en-US" w:eastAsia="zh-CN"/>
              </w:rPr>
              <w:t>191.5</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lang w:eastAsia="zh-CN"/>
              </w:rPr>
              <w:t>开展全县</w:t>
            </w:r>
            <w:r>
              <w:rPr>
                <w:rFonts w:hint="eastAsia" w:ascii="方正书宋_GBK" w:eastAsia="方正书宋_GBK"/>
              </w:rPr>
              <w:t>检察人员的教育培训工作和涉外交流工作，进行检察装备建设及维护；配备制式检察服装及法警服装；进行基础设施建设和维护。</w:t>
            </w:r>
          </w:p>
        </w:tc>
        <w:tc>
          <w:tcPr>
            <w:tcW w:w="2976"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为检察工作顺利开展提供保障。</w:t>
            </w:r>
          </w:p>
        </w:tc>
        <w:tc>
          <w:tcPr>
            <w:tcW w:w="141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各项综合事务工作完成率</w:t>
            </w:r>
          </w:p>
        </w:tc>
        <w:tc>
          <w:tcPr>
            <w:tcW w:w="737" w:type="dxa"/>
            <w:shd w:val="clear" w:color="auto" w:fill="auto"/>
            <w:vAlign w:val="center"/>
          </w:tcPr>
          <w:p>
            <w:pPr>
              <w:spacing w:line="300" w:lineRule="exact"/>
              <w:jc w:val="center"/>
              <w:rPr>
                <w:rFonts w:ascii="方正书宋_GBK" w:eastAsia="方正书宋_GBK"/>
              </w:rPr>
            </w:pPr>
            <w:r>
              <w:rPr>
                <w:rFonts w:ascii="方正书宋_GBK" w:eastAsia="方正书宋_GBK"/>
              </w:rPr>
              <w:t>100%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95%</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c>
          <w:tcPr>
            <w:tcW w:w="737" w:type="dxa"/>
            <w:shd w:val="clear" w:color="auto" w:fill="auto"/>
            <w:vAlign w:val="center"/>
          </w:tcPr>
          <w:p>
            <w:pPr>
              <w:spacing w:line="300" w:lineRule="exact"/>
              <w:jc w:val="center"/>
              <w:rPr>
                <w:rFonts w:hint="eastAsia" w:ascii="方正书宋_GBK" w:eastAsia="方正书宋_GBK"/>
              </w:rPr>
            </w:pPr>
            <w:r>
              <w:rPr>
                <w:rFonts w:hint="eastAsia" w:ascii="方正书宋_GBK" w:eastAsia="方正书宋_GBK"/>
              </w:rPr>
              <w:t>＜</w:t>
            </w:r>
            <w:r>
              <w:rPr>
                <w:rFonts w:ascii="方正书宋_GBK" w:eastAsia="方正书宋_GBK"/>
              </w:rPr>
              <w:t>90%</w:t>
            </w:r>
          </w:p>
        </w:tc>
      </w:tr>
    </w:tbl>
    <w:p>
      <w:pPr>
        <w:autoSpaceDE w:val="0"/>
        <w:autoSpaceDN w:val="0"/>
        <w:adjustRightInd w:val="0"/>
        <w:ind w:firstLine="640" w:firstLineChars="200"/>
        <w:jc w:val="left"/>
        <w:rPr>
          <w:rFonts w:ascii="黑体" w:eastAsia="黑体" w:cs="Times New Roman"/>
          <w:sz w:val="32"/>
          <w:szCs w:val="32"/>
        </w:rPr>
      </w:pPr>
      <w:r>
        <w:rPr>
          <w:rFonts w:hint="eastAsia" w:ascii="黑体" w:eastAsia="黑体" w:cs="Times New Roman"/>
          <w:sz w:val="32"/>
          <w:szCs w:val="32"/>
        </w:rPr>
        <w:t>六、政府采购预算情况</w:t>
      </w:r>
    </w:p>
    <w:p>
      <w:pPr>
        <w:outlineLvl w:val="0"/>
        <w:rPr>
          <w:rFonts w:ascii="Times New Roman" w:hAnsi="Times New Roman" w:eastAsia="方正仿宋_GBK" w:cs="Times New Roman"/>
          <w:sz w:val="32"/>
          <w:szCs w:val="24"/>
        </w:rPr>
      </w:pPr>
      <w:bookmarkStart w:id="1" w:name="_Toc471398468"/>
      <w:r>
        <w:rPr>
          <w:rFonts w:ascii="Times New Roman" w:hAnsi="Times New Roman" w:eastAsia="方正仿宋_GBK" w:cs="Times New Roman"/>
          <w:sz w:val="32"/>
          <w:szCs w:val="24"/>
        </w:rPr>
        <w:t xml:space="preserve"> </w:t>
      </w:r>
      <w:r>
        <w:rPr>
          <w:rFonts w:hint="eastAsia" w:ascii="仿宋" w:eastAsia="仿宋" w:cs="仿宋"/>
          <w:sz w:val="32"/>
          <w:szCs w:val="24"/>
        </w:rPr>
        <w:t xml:space="preserve">  </w:t>
      </w:r>
      <w:r>
        <w:rPr>
          <w:rFonts w:hint="eastAsia" w:ascii="仿宋" w:eastAsia="仿宋" w:cs="仿宋"/>
          <w:sz w:val="32"/>
          <w:szCs w:val="24"/>
          <w:lang w:val="en-US" w:eastAsia="zh-CN"/>
        </w:rPr>
        <w:t xml:space="preserve"> </w:t>
      </w:r>
      <w:r>
        <w:rPr>
          <w:rFonts w:hint="eastAsia" w:ascii="仿宋" w:eastAsia="仿宋" w:cs="仿宋"/>
          <w:sz w:val="32"/>
          <w:szCs w:val="24"/>
        </w:rPr>
        <w:t>2017年，我</w:t>
      </w:r>
      <w:r>
        <w:rPr>
          <w:rFonts w:hint="eastAsia" w:ascii="仿宋" w:eastAsia="仿宋" w:cs="仿宋"/>
          <w:sz w:val="32"/>
          <w:szCs w:val="24"/>
          <w:lang w:eastAsia="zh-CN"/>
        </w:rPr>
        <w:t>院</w:t>
      </w:r>
      <w:r>
        <w:rPr>
          <w:rFonts w:hint="eastAsia" w:ascii="仿宋" w:eastAsia="仿宋" w:cs="仿宋"/>
          <w:sz w:val="32"/>
          <w:szCs w:val="24"/>
        </w:rPr>
        <w:t>安排政府采购预算</w:t>
      </w:r>
      <w:r>
        <w:rPr>
          <w:rFonts w:hint="eastAsia" w:ascii="仿宋" w:eastAsia="仿宋" w:cs="仿宋"/>
          <w:sz w:val="32"/>
          <w:szCs w:val="24"/>
          <w:lang w:val="en-US" w:eastAsia="zh-CN"/>
        </w:rPr>
        <w:t>104.8</w:t>
      </w:r>
      <w:r>
        <w:rPr>
          <w:rFonts w:hint="eastAsia" w:ascii="仿宋" w:eastAsia="仿宋" w:cs="仿宋"/>
          <w:sz w:val="32"/>
          <w:szCs w:val="24"/>
        </w:rPr>
        <w:t>万元。</w:t>
      </w:r>
    </w:p>
    <w:bookmarkEnd w:id="1"/>
    <w:p>
      <w:pPr>
        <w:autoSpaceDE w:val="0"/>
        <w:autoSpaceDN w:val="0"/>
        <w:adjustRightInd w:val="0"/>
        <w:ind w:firstLine="640" w:firstLineChars="200"/>
        <w:jc w:val="left"/>
        <w:rPr>
          <w:rFonts w:ascii="黑体" w:eastAsia="黑体" w:cs="Times New Roman"/>
          <w:sz w:val="32"/>
          <w:szCs w:val="32"/>
        </w:rPr>
      </w:pPr>
      <w:r>
        <w:rPr>
          <w:rFonts w:hint="eastAsia" w:ascii="黑体" w:eastAsia="黑体" w:cs="Times New Roman"/>
          <w:sz w:val="32"/>
          <w:szCs w:val="32"/>
        </w:rPr>
        <w:t>七、国有资产信息</w:t>
      </w:r>
    </w:p>
    <w:p>
      <w:pPr>
        <w:ind w:firstLine="640"/>
        <w:rPr>
          <w:rFonts w:ascii="仿宋_GB2312" w:eastAsia="仿宋_GB2312" w:cs="Times New Roman"/>
          <w:sz w:val="32"/>
          <w:szCs w:val="32"/>
        </w:rPr>
      </w:pPr>
      <w:r>
        <w:rPr>
          <w:rFonts w:hint="eastAsia" w:ascii="仿宋_GB2312" w:eastAsia="仿宋_GB2312" w:cs="Times New Roman"/>
          <w:sz w:val="32"/>
          <w:szCs w:val="32"/>
          <w:lang w:eastAsia="zh-CN"/>
        </w:rPr>
        <w:t>霸州市人民检察院</w:t>
      </w:r>
      <w:r>
        <w:rPr>
          <w:rFonts w:hint="eastAsia" w:ascii="仿宋_GB2312" w:eastAsia="仿宋_GB2312" w:cs="Times New Roman"/>
          <w:sz w:val="32"/>
          <w:szCs w:val="32"/>
        </w:rPr>
        <w:t>上年末固定资产</w:t>
      </w:r>
      <w:r>
        <w:rPr>
          <w:rFonts w:ascii="仿宋_GB2312" w:eastAsia="仿宋_GB2312" w:cs="Times New Roman"/>
          <w:sz w:val="32"/>
          <w:szCs w:val="32"/>
        </w:rPr>
        <w:t>总</w:t>
      </w:r>
      <w:r>
        <w:rPr>
          <w:rFonts w:hint="eastAsia" w:ascii="仿宋_GB2312" w:eastAsia="仿宋_GB2312" w:cs="Times New Roman"/>
          <w:sz w:val="32"/>
          <w:szCs w:val="32"/>
        </w:rPr>
        <w:t>额为</w:t>
      </w:r>
      <w:r>
        <w:rPr>
          <w:rFonts w:hint="eastAsia" w:ascii="仿宋_GB2312" w:eastAsia="仿宋_GB2312" w:cs="Times New Roman"/>
          <w:sz w:val="32"/>
          <w:szCs w:val="32"/>
          <w:lang w:val="en-US" w:eastAsia="zh-CN"/>
        </w:rPr>
        <w:t>3125</w:t>
      </w:r>
      <w:r>
        <w:rPr>
          <w:rFonts w:hint="eastAsia" w:ascii="仿宋_GB2312" w:eastAsia="仿宋_GB2312" w:cs="Times New Roman"/>
          <w:sz w:val="32"/>
          <w:szCs w:val="32"/>
        </w:rPr>
        <w:t>万元，详见下表。</w:t>
      </w:r>
    </w:p>
    <w:tbl>
      <w:tblPr>
        <w:tblStyle w:val="7"/>
        <w:tblW w:w="1348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224"/>
        <w:gridCol w:w="3155"/>
        <w:gridCol w:w="51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705" w:hRule="atLeast"/>
        </w:trPr>
        <w:tc>
          <w:tcPr>
            <w:tcW w:w="13482" w:type="dxa"/>
            <w:gridSpan w:val="3"/>
            <w:tcBorders>
              <w:top w:val="nil"/>
              <w:left w:val="nil"/>
              <w:bottom w:val="nil"/>
              <w:right w:val="nil"/>
            </w:tcBorders>
            <w:shd w:val="clear" w:color="auto" w:fill="auto"/>
            <w:vAlign w:val="center"/>
          </w:tcPr>
          <w:p>
            <w:pPr>
              <w:widowControl/>
              <w:jc w:val="center"/>
              <w:rPr>
                <w:rFonts w:ascii="宋体" w:eastAsia="宋体" w:cs="宋体"/>
                <w:b/>
                <w:bCs/>
                <w:kern w:val="0"/>
                <w:sz w:val="32"/>
                <w:szCs w:val="32"/>
              </w:rPr>
            </w:pPr>
          </w:p>
          <w:p>
            <w:pPr>
              <w:widowControl/>
              <w:jc w:val="center"/>
              <w:rPr>
                <w:rFonts w:ascii="宋体" w:eastAsia="宋体" w:cs="宋体"/>
                <w:b/>
                <w:bCs/>
                <w:kern w:val="0"/>
                <w:sz w:val="32"/>
                <w:szCs w:val="32"/>
              </w:rPr>
            </w:pPr>
          </w:p>
          <w:p>
            <w:pPr>
              <w:widowControl/>
              <w:jc w:val="center"/>
              <w:rPr>
                <w:rFonts w:ascii="宋体" w:eastAsia="宋体" w:cs="宋体"/>
                <w:b/>
                <w:bCs/>
                <w:kern w:val="0"/>
                <w:sz w:val="32"/>
                <w:szCs w:val="32"/>
              </w:rPr>
            </w:pPr>
          </w:p>
          <w:p>
            <w:pPr>
              <w:widowControl/>
              <w:jc w:val="center"/>
              <w:rPr>
                <w:rFonts w:ascii="宋体" w:eastAsia="宋体" w:cs="宋体"/>
                <w:b/>
                <w:bCs/>
                <w:kern w:val="0"/>
                <w:sz w:val="32"/>
                <w:szCs w:val="32"/>
              </w:rPr>
            </w:pPr>
            <w:r>
              <w:rPr>
                <w:rFonts w:hint="eastAsia" w:ascii="宋体" w:eastAsia="宋体" w:cs="宋体"/>
                <w:b/>
                <w:bCs/>
                <w:kern w:val="0"/>
                <w:sz w:val="32"/>
                <w:szCs w:val="32"/>
              </w:rPr>
              <w:t>河北省</w:t>
            </w:r>
            <w:r>
              <w:rPr>
                <w:rFonts w:hint="eastAsia" w:ascii="宋体" w:eastAsia="宋体" w:cs="宋体"/>
                <w:b/>
                <w:bCs/>
                <w:kern w:val="0"/>
                <w:sz w:val="32"/>
                <w:szCs w:val="32"/>
                <w:lang w:eastAsia="zh-CN"/>
              </w:rPr>
              <w:t>廊坊市人民检察院</w:t>
            </w:r>
            <w:r>
              <w:rPr>
                <w:rFonts w:hint="eastAsia" w:ascii="宋体" w:eastAsia="宋体" w:cs="宋体"/>
                <w:b/>
                <w:bCs/>
                <w:kern w:val="0"/>
                <w:sz w:val="32"/>
                <w:szCs w:val="32"/>
              </w:rPr>
              <w:t>固定资产占用情况表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8379" w:type="dxa"/>
            <w:gridSpan w:val="2"/>
            <w:tcBorders>
              <w:top w:val="nil"/>
              <w:left w:val="nil"/>
              <w:bottom w:val="nil"/>
              <w:right w:val="nil"/>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编制部门：河北省</w:t>
            </w:r>
            <w:r>
              <w:rPr>
                <w:rFonts w:hint="eastAsia" w:ascii="宋体" w:eastAsia="宋体" w:cs="宋体"/>
                <w:kern w:val="0"/>
                <w:sz w:val="22"/>
                <w:lang w:eastAsia="zh-CN"/>
              </w:rPr>
              <w:t>廊坊市人民检察院</w:t>
            </w:r>
          </w:p>
        </w:tc>
        <w:tc>
          <w:tcPr>
            <w:tcW w:w="5103" w:type="dxa"/>
            <w:tcBorders>
              <w:top w:val="nil"/>
              <w:left w:val="nil"/>
              <w:bottom w:val="nil"/>
              <w:right w:val="nil"/>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 xml:space="preserve">截止时间：2016年12月31日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eastAsia="宋体" w:cs="宋体"/>
                <w:b/>
                <w:bCs/>
                <w:kern w:val="0"/>
                <w:sz w:val="22"/>
              </w:rPr>
            </w:pPr>
            <w:r>
              <w:rPr>
                <w:rFonts w:hint="eastAsia" w:ascii="宋体" w:eastAsia="宋体" w:cs="宋体"/>
                <w:b/>
                <w:bCs/>
                <w:kern w:val="0"/>
                <w:sz w:val="22"/>
              </w:rPr>
              <w:t>项   目</w:t>
            </w:r>
          </w:p>
        </w:tc>
        <w:tc>
          <w:tcPr>
            <w:tcW w:w="315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eastAsia="宋体" w:cs="宋体"/>
                <w:b/>
                <w:bCs/>
                <w:kern w:val="0"/>
                <w:sz w:val="22"/>
              </w:rPr>
            </w:pPr>
            <w:r>
              <w:rPr>
                <w:rFonts w:hint="eastAsia" w:ascii="宋体" w:eastAsia="宋体" w:cs="宋体"/>
                <w:b/>
                <w:bCs/>
                <w:kern w:val="0"/>
                <w:sz w:val="22"/>
              </w:rPr>
              <w:t>数量</w:t>
            </w:r>
          </w:p>
        </w:tc>
        <w:tc>
          <w:tcPr>
            <w:tcW w:w="510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eastAsia="宋体" w:cs="宋体"/>
                <w:b/>
                <w:bCs/>
                <w:kern w:val="0"/>
                <w:sz w:val="22"/>
              </w:rPr>
            </w:pPr>
            <w:r>
              <w:rPr>
                <w:rFonts w:hint="eastAsia" w:ascii="宋体" w:eastAsia="宋体" w:cs="宋体"/>
                <w:b/>
                <w:bCs/>
                <w:kern w:val="0"/>
                <w:sz w:val="22"/>
              </w:rPr>
              <w:t>价值（金额单位：万元）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r>
              <w:rPr>
                <w:rFonts w:hint="eastAsia" w:ascii="宋体" w:eastAsia="宋体" w:cs="宋体"/>
                <w:kern w:val="0"/>
                <w:sz w:val="22"/>
              </w:rPr>
              <w:t>资产总额</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r>
              <w:rPr>
                <w:rFonts w:hint="eastAsia" w:ascii="宋体" w:eastAsia="宋体" w:cs="宋体"/>
                <w:kern w:val="0"/>
                <w:sz w:val="22"/>
              </w:rPr>
              <w:t>——</w:t>
            </w: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eastAsia="宋体" w:cs="宋体"/>
                <w:kern w:val="0"/>
                <w:sz w:val="22"/>
                <w:lang w:val="en-US" w:eastAsia="zh-CN"/>
              </w:rPr>
            </w:pPr>
            <w:r>
              <w:rPr>
                <w:rFonts w:hint="eastAsia" w:ascii="宋体" w:eastAsia="宋体" w:cs="宋体"/>
                <w:kern w:val="0"/>
                <w:sz w:val="22"/>
                <w:lang w:val="en-US" w:eastAsia="zh-CN"/>
              </w:rPr>
              <w:t>6113.77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1、房屋（平方米）</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eastAsia="宋体" w:cs="宋体"/>
                <w:kern w:val="0"/>
                <w:sz w:val="22"/>
                <w:lang w:val="en-US" w:eastAsia="zh-CN"/>
              </w:rPr>
            </w:pPr>
            <w:r>
              <w:rPr>
                <w:rFonts w:hint="eastAsia" w:ascii="宋体" w:cs="宋体"/>
                <w:kern w:val="0"/>
                <w:sz w:val="22"/>
                <w:lang w:val="en-US" w:eastAsia="zh-CN"/>
              </w:rPr>
              <w:t>5846</w:t>
            </w: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eastAsia="宋体" w:cs="宋体"/>
                <w:kern w:val="0"/>
                <w:sz w:val="22"/>
                <w:lang w:val="en-US" w:eastAsia="zh-CN"/>
              </w:rPr>
            </w:pPr>
            <w:r>
              <w:rPr>
                <w:rFonts w:hint="eastAsia" w:ascii="宋体" w:cs="宋体"/>
                <w:kern w:val="0"/>
                <w:sz w:val="22"/>
                <w:lang w:val="en-US" w:eastAsia="zh-CN"/>
              </w:rPr>
              <w:t>1349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 xml:space="preserve">   其中：办公用房（平方米）</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2、车辆（台、辆）</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eastAsia="宋体" w:cs="宋体"/>
                <w:kern w:val="0"/>
                <w:sz w:val="22"/>
                <w:lang w:val="en-US" w:eastAsia="zh-CN"/>
              </w:rPr>
            </w:pPr>
            <w:r>
              <w:rPr>
                <w:rFonts w:hint="eastAsia" w:ascii="宋体" w:cs="宋体"/>
                <w:kern w:val="0"/>
                <w:sz w:val="22"/>
                <w:lang w:val="en-US" w:eastAsia="zh-CN"/>
              </w:rPr>
              <w:t>33</w:t>
            </w: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eastAsia="宋体" w:cs="宋体"/>
                <w:kern w:val="0"/>
                <w:sz w:val="22"/>
                <w:lang w:val="en-US" w:eastAsia="zh-CN"/>
              </w:rPr>
            </w:pPr>
            <w:r>
              <w:rPr>
                <w:rFonts w:hint="eastAsia" w:ascii="宋体" w:cs="宋体"/>
                <w:kern w:val="0"/>
                <w:sz w:val="22"/>
                <w:lang w:val="en-US" w:eastAsia="zh-CN"/>
              </w:rPr>
              <w:t>497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3、单价在20万元以上的设备</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5" w:hRule="atLeast"/>
        </w:trPr>
        <w:tc>
          <w:tcPr>
            <w:tcW w:w="5224"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eastAsia="宋体" w:cs="宋体"/>
                <w:kern w:val="0"/>
                <w:sz w:val="22"/>
              </w:rPr>
            </w:pPr>
            <w:r>
              <w:rPr>
                <w:rFonts w:hint="eastAsia" w:ascii="宋体" w:eastAsia="宋体" w:cs="宋体"/>
                <w:kern w:val="0"/>
                <w:sz w:val="22"/>
              </w:rPr>
              <w:t>4、其他固定资产</w:t>
            </w:r>
          </w:p>
        </w:tc>
        <w:tc>
          <w:tcPr>
            <w:tcW w:w="3155" w:type="dxa"/>
            <w:tcBorders>
              <w:top w:val="nil"/>
              <w:left w:val="nil"/>
              <w:bottom w:val="single" w:color="auto" w:sz="4" w:space="0"/>
              <w:right w:val="single" w:color="auto" w:sz="4" w:space="0"/>
            </w:tcBorders>
            <w:shd w:val="clear" w:color="auto" w:fill="auto"/>
            <w:vAlign w:val="center"/>
          </w:tcPr>
          <w:p>
            <w:pPr>
              <w:widowControl/>
              <w:jc w:val="center"/>
              <w:rPr>
                <w:rFonts w:ascii="宋体" w:eastAsia="宋体" w:cs="宋体"/>
                <w:kern w:val="0"/>
                <w:sz w:val="22"/>
              </w:rPr>
            </w:pPr>
          </w:p>
        </w:tc>
        <w:tc>
          <w:tcPr>
            <w:tcW w:w="5103"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eastAsia="宋体" w:cs="宋体"/>
                <w:kern w:val="0"/>
                <w:sz w:val="22"/>
                <w:lang w:val="en-US" w:eastAsia="zh-CN"/>
              </w:rPr>
            </w:pPr>
            <w:r>
              <w:rPr>
                <w:rFonts w:hint="eastAsia" w:ascii="宋体" w:cs="宋体"/>
                <w:kern w:val="0"/>
                <w:sz w:val="22"/>
                <w:lang w:val="en-US" w:eastAsia="zh-CN"/>
              </w:rPr>
              <w:t>1279</w:t>
            </w:r>
          </w:p>
        </w:tc>
      </w:tr>
    </w:tbl>
    <w:p>
      <w:pPr>
        <w:rPr>
          <w:rFonts w:ascii="仿宋_GB2312" w:eastAsia="仿宋_GB2312" w:cs="Times New Roman"/>
          <w:color w:val="FF0000"/>
          <w:sz w:val="32"/>
          <w:szCs w:val="32"/>
        </w:rPr>
      </w:pPr>
    </w:p>
    <w:p>
      <w:pPr>
        <w:autoSpaceDE w:val="0"/>
        <w:autoSpaceDN w:val="0"/>
        <w:adjustRightInd w:val="0"/>
        <w:ind w:left="198" w:firstLine="640" w:firstLineChars="200"/>
        <w:jc w:val="left"/>
        <w:rPr>
          <w:rFonts w:ascii="黑体" w:eastAsia="黑体" w:cs="Times New Roman"/>
          <w:sz w:val="32"/>
          <w:szCs w:val="32"/>
        </w:rPr>
      </w:pPr>
      <w:r>
        <w:rPr>
          <w:rFonts w:hint="eastAsia" w:ascii="黑体" w:eastAsia="黑体" w:cs="Times New Roman"/>
          <w:sz w:val="32"/>
          <w:szCs w:val="32"/>
        </w:rPr>
        <w:t>八、名词解释</w:t>
      </w:r>
    </w:p>
    <w:p>
      <w:pPr>
        <w:pStyle w:val="8"/>
        <w:rPr>
          <w:rFonts w:hint="eastAsia" w:ascii="仿宋_GB2312" w:eastAsia="仿宋_GB2312"/>
          <w:b/>
          <w:bCs/>
          <w:sz w:val="32"/>
          <w:szCs w:val="32"/>
        </w:rPr>
      </w:pPr>
      <w:r>
        <w:rPr>
          <w:rFonts w:hint="eastAsia"/>
          <w:b/>
          <w:bCs/>
          <w:sz w:val="32"/>
          <w:szCs w:val="32"/>
        </w:rPr>
        <w:t xml:space="preserve">    </w:t>
      </w:r>
      <w:r>
        <w:rPr>
          <w:rFonts w:hint="eastAsia" w:ascii="仿宋_GB2312" w:eastAsia="仿宋_GB2312"/>
          <w:b/>
          <w:bCs/>
          <w:sz w:val="32"/>
          <w:szCs w:val="32"/>
        </w:rPr>
        <w:t>1</w:t>
      </w:r>
      <w:r>
        <w:rPr>
          <w:rFonts w:hint="eastAsia" w:ascii="仿宋_GB2312" w:hAnsi="FZFangSong-Z02" w:eastAsia="仿宋_GB2312" w:cs="FZFangSong-Z02"/>
          <w:sz w:val="32"/>
          <w:szCs w:val="32"/>
        </w:rPr>
        <w:t>、一般公共预算拨款收入：指财政当年拨付的资金。</w:t>
      </w:r>
    </w:p>
    <w:p>
      <w:pPr>
        <w:pStyle w:val="8"/>
        <w:rPr>
          <w:rFonts w:hint="eastAsia" w:ascii="仿宋_GB2312" w:hAnsi="FZFangSong-Z02" w:eastAsia="仿宋_GB2312" w:cs="FZFangSong-Z02"/>
          <w:sz w:val="32"/>
          <w:szCs w:val="32"/>
        </w:rPr>
      </w:pPr>
      <w:r>
        <w:rPr>
          <w:rFonts w:hint="eastAsia" w:ascii="仿宋_GB2312" w:eastAsia="仿宋_GB2312"/>
          <w:b/>
          <w:bCs/>
          <w:sz w:val="32"/>
          <w:szCs w:val="32"/>
        </w:rPr>
        <w:t xml:space="preserve">    2</w:t>
      </w:r>
      <w:r>
        <w:rPr>
          <w:rFonts w:hint="eastAsia" w:ascii="仿宋_GB2312" w:hAnsi="FZFangSong-Z02" w:eastAsia="仿宋_GB2312" w:cs="FZFangSong-Z02"/>
          <w:sz w:val="32"/>
          <w:szCs w:val="32"/>
        </w:rPr>
        <w:t>、事业收入：指事业单位开展专业业务活动及辅助活动所取得的收入。</w:t>
      </w:r>
    </w:p>
    <w:p>
      <w:pPr>
        <w:pStyle w:val="8"/>
        <w:rPr>
          <w:rFonts w:hint="eastAsia" w:ascii="仿宋_GB2312" w:hAnsi="FZFangSong-Z02" w:eastAsia="仿宋_GB2312" w:cs="FZFangSong-Z02"/>
          <w:sz w:val="32"/>
          <w:szCs w:val="32"/>
        </w:rPr>
      </w:pPr>
      <w:r>
        <w:rPr>
          <w:rFonts w:hint="eastAsia" w:ascii="仿宋_GB2312" w:eastAsia="仿宋_GB2312"/>
          <w:b/>
          <w:bCs/>
          <w:sz w:val="32"/>
          <w:szCs w:val="32"/>
        </w:rPr>
        <w:t xml:space="preserve">    3</w:t>
      </w:r>
      <w:r>
        <w:rPr>
          <w:rFonts w:hint="eastAsia" w:ascii="仿宋_GB2312" w:hAnsi="FZFangSong-Z02" w:eastAsia="仿宋_GB2312" w:cs="FZFangSong-Z02"/>
          <w:sz w:val="32"/>
          <w:szCs w:val="32"/>
        </w:rPr>
        <w:t>、其他收入：指除上述</w:t>
      </w:r>
      <w:r>
        <w:rPr>
          <w:rFonts w:hint="eastAsia" w:ascii="仿宋_GB2312" w:eastAsia="仿宋_GB2312"/>
          <w:sz w:val="32"/>
          <w:szCs w:val="32"/>
        </w:rPr>
        <w:t>“</w:t>
      </w:r>
      <w:r>
        <w:rPr>
          <w:rFonts w:hint="eastAsia" w:ascii="仿宋_GB2312" w:hAnsi="FZFangSong-Z02" w:eastAsia="仿宋_GB2312" w:cs="FZFangSong-Z02"/>
          <w:sz w:val="32"/>
          <w:szCs w:val="32"/>
        </w:rPr>
        <w:t>财政拨款收入</w:t>
      </w:r>
      <w:r>
        <w:rPr>
          <w:rFonts w:hint="eastAsia" w:ascii="仿宋_GB2312" w:eastAsia="仿宋_GB2312"/>
          <w:sz w:val="32"/>
          <w:szCs w:val="32"/>
        </w:rPr>
        <w:t>”</w:t>
      </w:r>
      <w:r>
        <w:rPr>
          <w:rFonts w:hint="eastAsia" w:ascii="仿宋_GB2312" w:hAnsi="FZFangSong-Z02" w:eastAsia="仿宋_GB2312" w:cs="FZFangSong-Z02"/>
          <w:sz w:val="32"/>
          <w:szCs w:val="32"/>
        </w:rPr>
        <w:t>、</w:t>
      </w:r>
      <w:r>
        <w:rPr>
          <w:rFonts w:hint="eastAsia" w:ascii="仿宋_GB2312" w:eastAsia="仿宋_GB2312"/>
          <w:sz w:val="32"/>
          <w:szCs w:val="32"/>
        </w:rPr>
        <w:t>“</w:t>
      </w:r>
      <w:r>
        <w:rPr>
          <w:rFonts w:hint="eastAsia" w:ascii="仿宋_GB2312" w:hAnsi="FZFangSong-Z02" w:eastAsia="仿宋_GB2312" w:cs="FZFangSong-Z02"/>
          <w:sz w:val="32"/>
          <w:szCs w:val="32"/>
        </w:rPr>
        <w:t>事业收入</w:t>
      </w:r>
      <w:r>
        <w:rPr>
          <w:rFonts w:hint="eastAsia" w:ascii="仿宋_GB2312" w:eastAsia="仿宋_GB2312"/>
          <w:sz w:val="32"/>
          <w:szCs w:val="32"/>
        </w:rPr>
        <w:t>”</w:t>
      </w:r>
      <w:r>
        <w:rPr>
          <w:rFonts w:hint="eastAsia" w:ascii="仿宋_GB2312" w:hAnsi="FZFangSong-Z02" w:eastAsia="仿宋_GB2312" w:cs="FZFangSong-Z02"/>
          <w:sz w:val="32"/>
          <w:szCs w:val="32"/>
        </w:rPr>
        <w:t>等以外的收入。主要是按规定动用的租房收入、存款利息收入等。</w:t>
      </w:r>
    </w:p>
    <w:p>
      <w:pPr>
        <w:pStyle w:val="8"/>
        <w:rPr>
          <w:rFonts w:hint="eastAsia" w:ascii="仿宋_GB2312" w:hAnsi="FZFangSong-Z02" w:eastAsia="仿宋_GB2312" w:cs="FZFangSong-Z02"/>
          <w:sz w:val="32"/>
          <w:szCs w:val="32"/>
        </w:rPr>
      </w:pPr>
      <w:r>
        <w:rPr>
          <w:rFonts w:hint="eastAsia" w:ascii="仿宋_GB2312" w:eastAsia="仿宋_GB2312"/>
          <w:b/>
          <w:bCs/>
          <w:sz w:val="32"/>
          <w:szCs w:val="32"/>
        </w:rPr>
        <w:t xml:space="preserve">    4</w:t>
      </w:r>
      <w:r>
        <w:rPr>
          <w:rFonts w:hint="eastAsia" w:ascii="仿宋_GB2312" w:hAnsi="FZFangSong-Z02" w:eastAsia="仿宋_GB2312" w:cs="FZFangSong-Z02"/>
          <w:sz w:val="32"/>
          <w:szCs w:val="32"/>
        </w:rPr>
        <w:t>、基本支出：</w:t>
      </w:r>
      <w:r>
        <w:rPr>
          <w:rFonts w:hint="eastAsia" w:ascii="仿宋_GB2312" w:eastAsia="仿宋_GB2312"/>
          <w:sz w:val="32"/>
          <w:szCs w:val="32"/>
        </w:rPr>
        <w:t>指为保障机构正常运转、完成日常工作任务而发生的人员支出和公用支出。</w:t>
      </w:r>
    </w:p>
    <w:p>
      <w:pPr>
        <w:rPr>
          <w:rFonts w:hint="eastAsia" w:ascii="仿宋_GB2312" w:eastAsia="仿宋_GB2312"/>
          <w:sz w:val="32"/>
          <w:szCs w:val="32"/>
        </w:rPr>
      </w:pPr>
      <w:r>
        <w:rPr>
          <w:rFonts w:hint="eastAsia" w:ascii="仿宋_GB2312" w:eastAsia="仿宋_GB2312"/>
          <w:b/>
          <w:bCs/>
          <w:sz w:val="32"/>
          <w:szCs w:val="32"/>
        </w:rPr>
        <w:t xml:space="preserve">    5</w:t>
      </w:r>
      <w:r>
        <w:rPr>
          <w:rFonts w:hint="eastAsia" w:ascii="仿宋_GB2312" w:hAnsi="FZFangSong-Z02" w:eastAsia="仿宋_GB2312" w:cs="FZFangSong-Z02"/>
          <w:sz w:val="32"/>
          <w:szCs w:val="32"/>
        </w:rPr>
        <w:t>、项目支出：</w:t>
      </w:r>
      <w:r>
        <w:rPr>
          <w:rFonts w:hint="eastAsia" w:ascii="仿宋_GB2312" w:eastAsia="仿宋_GB2312"/>
          <w:sz w:val="32"/>
          <w:szCs w:val="32"/>
        </w:rPr>
        <w:t>指在基本支出之外为完成特定行政任务和事业发展目标所发生的支出。</w:t>
      </w:r>
    </w:p>
    <w:p>
      <w:pPr>
        <w:pStyle w:val="8"/>
        <w:rPr>
          <w:rFonts w:hint="eastAsia" w:ascii="仿宋_GB2312" w:eastAsia="仿宋_GB2312"/>
          <w:sz w:val="32"/>
          <w:szCs w:val="32"/>
        </w:rPr>
      </w:pPr>
      <w:r>
        <w:rPr>
          <w:rFonts w:hint="eastAsia" w:ascii="仿宋_GB2312" w:eastAsia="仿宋_GB2312"/>
          <w:b/>
          <w:bCs/>
          <w:sz w:val="32"/>
          <w:szCs w:val="32"/>
        </w:rPr>
        <w:t xml:space="preserve">    6</w:t>
      </w:r>
      <w:r>
        <w:rPr>
          <w:rFonts w:hint="eastAsia" w:ascii="仿宋_GB2312" w:hAnsi="FZFangSong-Z02" w:eastAsia="仿宋_GB2312" w:cs="FZFangSong-Z02"/>
          <w:sz w:val="32"/>
          <w:szCs w:val="32"/>
        </w:rPr>
        <w:t>、上缴上级支出：</w:t>
      </w:r>
      <w:r>
        <w:rPr>
          <w:rFonts w:hint="eastAsia" w:ascii="仿宋_GB2312" w:eastAsia="仿宋_GB2312"/>
          <w:sz w:val="32"/>
          <w:szCs w:val="32"/>
        </w:rPr>
        <w:t>指下级单位上缴上级的支出。</w:t>
      </w:r>
    </w:p>
    <w:p>
      <w:pPr>
        <w:pStyle w:val="8"/>
        <w:rPr>
          <w:rFonts w:hint="eastAsia" w:ascii="仿宋_GB2312" w:hAnsi="FZFangSong-Z02" w:eastAsia="仿宋_GB2312" w:cs="FZFangSong-Z02"/>
          <w:sz w:val="32"/>
          <w:szCs w:val="32"/>
        </w:rPr>
      </w:pPr>
      <w:r>
        <w:rPr>
          <w:rFonts w:hint="eastAsia" w:ascii="仿宋_GB2312" w:eastAsia="仿宋_GB2312"/>
          <w:b/>
          <w:bCs/>
          <w:sz w:val="32"/>
          <w:szCs w:val="32"/>
        </w:rPr>
        <w:t xml:space="preserve">    7</w:t>
      </w:r>
      <w:r>
        <w:rPr>
          <w:rFonts w:hint="eastAsia" w:ascii="仿宋_GB2312" w:hAnsi="FZFangSong-Z02" w:eastAsia="仿宋_GB2312" w:cs="FZFangSong-Z02"/>
          <w:sz w:val="32"/>
          <w:szCs w:val="32"/>
        </w:rPr>
        <w:t>、</w:t>
      </w:r>
      <w:r>
        <w:rPr>
          <w:rFonts w:hint="eastAsia" w:ascii="仿宋_GB2312" w:eastAsia="仿宋_GB2312"/>
          <w:b/>
          <w:bCs/>
          <w:sz w:val="32"/>
          <w:szCs w:val="32"/>
        </w:rPr>
        <w:t>“</w:t>
      </w:r>
      <w:r>
        <w:rPr>
          <w:rFonts w:hint="eastAsia" w:ascii="仿宋_GB2312" w:hAnsi="FZFangSong-Z02" w:eastAsia="仿宋_GB2312" w:cs="FZFangSong-Z02"/>
          <w:sz w:val="32"/>
          <w:szCs w:val="32"/>
        </w:rPr>
        <w:t>三公</w:t>
      </w:r>
      <w:r>
        <w:rPr>
          <w:rFonts w:hint="eastAsia" w:ascii="仿宋_GB2312" w:eastAsia="仿宋_GB2312"/>
          <w:b/>
          <w:bCs/>
          <w:sz w:val="32"/>
          <w:szCs w:val="32"/>
        </w:rPr>
        <w:t>”</w:t>
      </w:r>
      <w:r>
        <w:rPr>
          <w:rFonts w:hint="eastAsia" w:ascii="仿宋_GB2312" w:hAnsi="FZFangSong-Z02" w:eastAsia="仿宋_GB2312" w:cs="FZFangSong-Z02"/>
          <w:sz w:val="32"/>
          <w:szCs w:val="32"/>
        </w:rPr>
        <w:t>经费：纳入</w:t>
      </w:r>
      <w:r>
        <w:rPr>
          <w:rFonts w:hint="eastAsia" w:ascii="仿宋_GB2312" w:hAnsi="FZFangSong-Z02" w:eastAsia="仿宋_GB2312" w:cs="FZFangSong-Z02"/>
          <w:sz w:val="32"/>
          <w:szCs w:val="32"/>
          <w:lang w:eastAsia="zh-CN"/>
        </w:rPr>
        <w:t>县</w:t>
      </w:r>
      <w:r>
        <w:rPr>
          <w:rFonts w:hint="eastAsia" w:ascii="仿宋_GB2312" w:hAnsi="FZFangSong-Z02" w:eastAsia="仿宋_GB2312" w:cs="FZFangSong-Z02"/>
          <w:sz w:val="32"/>
          <w:szCs w:val="32"/>
        </w:rPr>
        <w:t>级财政预算管理的</w:t>
      </w:r>
      <w:r>
        <w:rPr>
          <w:rFonts w:hint="eastAsia" w:ascii="仿宋_GB2312" w:eastAsia="仿宋_GB2312"/>
          <w:sz w:val="32"/>
          <w:szCs w:val="32"/>
        </w:rPr>
        <w:t>“</w:t>
      </w:r>
      <w:r>
        <w:rPr>
          <w:rFonts w:hint="eastAsia" w:ascii="仿宋_GB2312" w:hAnsi="FZFangSong-Z02" w:eastAsia="仿宋_GB2312" w:cs="FZFangSong-Z02"/>
          <w:sz w:val="32"/>
          <w:szCs w:val="32"/>
        </w:rPr>
        <w:t>三公</w:t>
      </w:r>
      <w:r>
        <w:rPr>
          <w:rFonts w:hint="eastAsia" w:ascii="仿宋_GB2312" w:eastAsia="仿宋_GB2312"/>
          <w:sz w:val="32"/>
          <w:szCs w:val="32"/>
        </w:rPr>
        <w:t>”</w:t>
      </w:r>
      <w:r>
        <w:rPr>
          <w:rFonts w:hint="eastAsia" w:ascii="仿宋_GB2312" w:hAnsi="FZFangSong-Z02" w:eastAsia="仿宋_GB2312" w:cs="FZFangSong-Z02"/>
          <w:sz w:val="32"/>
          <w:szCs w:val="32"/>
        </w:rPr>
        <w:t>经费，是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rPr>
          <w:rFonts w:hint="eastAsia" w:ascii="仿宋_GB2312" w:hAnsi="FZFangSong-Z02" w:eastAsia="仿宋_GB2312" w:cs="FZFangSong-Z02"/>
          <w:sz w:val="32"/>
          <w:szCs w:val="32"/>
        </w:rPr>
      </w:pPr>
      <w:r>
        <w:rPr>
          <w:rFonts w:hint="eastAsia" w:ascii="仿宋_GB2312" w:eastAsia="仿宋_GB2312"/>
          <w:b/>
          <w:bCs/>
          <w:sz w:val="32"/>
          <w:szCs w:val="32"/>
        </w:rPr>
        <w:t xml:space="preserve">    8</w:t>
      </w:r>
      <w:r>
        <w:rPr>
          <w:rFonts w:hint="eastAsia" w:ascii="仿宋_GB2312" w:hAnsi="FZFangSong-Z02" w:eastAsia="仿宋_GB2312" w:cs="FZFangSong-Z02"/>
          <w:sz w:val="32"/>
          <w:szCs w:val="32"/>
        </w:rPr>
        <w:t>、机关运行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w:t>
      </w:r>
      <w:r>
        <w:rPr>
          <w:rFonts w:hint="eastAsia" w:ascii="仿宋_GB2312" w:eastAsia="仿宋_GB2312"/>
          <w:sz w:val="32"/>
          <w:szCs w:val="32"/>
        </w:rPr>
        <w:t>其他费用。</w:t>
      </w:r>
    </w:p>
    <w:p>
      <w:pPr>
        <w:tabs>
          <w:tab w:val="left" w:pos="11490"/>
        </w:tabs>
        <w:ind w:firstLine="640" w:firstLineChars="200"/>
        <w:rPr>
          <w:rFonts w:hint="eastAsia" w:ascii="黑体" w:eastAsia="黑体" w:cs="黑体"/>
          <w:b w:val="0"/>
          <w:bCs/>
          <w:sz w:val="32"/>
          <w:szCs w:val="32"/>
        </w:rPr>
      </w:pPr>
      <w:r>
        <w:rPr>
          <w:rFonts w:hint="eastAsia" w:ascii="黑体" w:eastAsia="黑体" w:cs="黑体"/>
          <w:b w:val="0"/>
          <w:bCs/>
          <w:sz w:val="32"/>
          <w:szCs w:val="32"/>
        </w:rPr>
        <w:t>九、其它需要说明的事项</w:t>
      </w:r>
    </w:p>
    <w:p>
      <w:pPr>
        <w:tabs>
          <w:tab w:val="left" w:pos="11490"/>
        </w:tabs>
        <w:ind w:firstLine="640" w:firstLineChars="200"/>
        <w:rPr>
          <w:rFonts w:hint="eastAsia" w:ascii="仿宋" w:eastAsia="仿宋" w:cs="仿宋"/>
          <w:b w:val="0"/>
          <w:bCs/>
          <w:sz w:val="32"/>
          <w:szCs w:val="32"/>
        </w:rPr>
      </w:pPr>
      <w:r>
        <w:rPr>
          <w:rFonts w:hint="eastAsia" w:ascii="仿宋" w:eastAsia="仿宋" w:cs="仿宋"/>
          <w:b w:val="0"/>
          <w:bCs/>
          <w:sz w:val="32"/>
          <w:szCs w:val="32"/>
        </w:rPr>
        <w:t>无其它需要说明的事项。</w:t>
      </w:r>
    </w:p>
    <w:sectPr>
      <w:pgSz w:w="16838" w:h="11906" w:orient="landscape"/>
      <w:pgMar w:top="1800" w:right="1440" w:bottom="1800" w:left="1440" w:header="851" w:footer="992" w:gutter="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方正小标宋简体">
    <w:altName w:val="微软雅黑"/>
    <w:panose1 w:val="03000509000000000000"/>
    <w:charset w:val="86"/>
    <w:family w:val="auto"/>
    <w:pitch w:val="default"/>
    <w:sig w:usb0="00000000" w:usb1="00000000" w:usb2="0000000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黑体"/>
    <w:panose1 w:val="00000000000000000000"/>
    <w:charset w:val="86"/>
    <w:family w:val="script"/>
    <w:pitch w:val="default"/>
    <w:sig w:usb0="00000000" w:usb1="00000000" w:usb2="0000001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书宋_GBK">
    <w:altName w:val="黑体"/>
    <w:panose1 w:val="00000000000000000000"/>
    <w:charset w:val="86"/>
    <w:family w:val="script"/>
    <w:pitch w:val="default"/>
    <w:sig w:usb0="00000000" w:usb1="00000000" w:usb2="00000010" w:usb3="00000000" w:csb0="00040000" w:csb1="00000000"/>
  </w:font>
  <w:font w:name="华文宋体">
    <w:altName w:val="宋体"/>
    <w:panose1 w:val="02010600040101010101"/>
    <w:charset w:val="86"/>
    <w:family w:val="auto"/>
    <w:pitch w:val="default"/>
    <w:sig w:usb0="00000000" w:usb1="00000000" w:usb2="00000000" w:usb3="00000000" w:csb0="0004009F" w:csb1="DFD70000"/>
  </w:font>
  <w:font w:name="FZFangSong-Z02">
    <w:altName w:val="Arial"/>
    <w:panose1 w:val="00000000000000000000"/>
    <w:charset w:val="00"/>
    <w:family w:val="swiss"/>
    <w:pitch w:val="default"/>
    <w:sig w:usb0="00000000"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4"/>
  </w:compat>
  <w:rsids>
    <w:rsidRoot w:val="00000000"/>
    <w:rsid w:val="02714E9F"/>
    <w:rsid w:val="036238A6"/>
    <w:rsid w:val="056C717E"/>
    <w:rsid w:val="09A71555"/>
    <w:rsid w:val="11141CA6"/>
    <w:rsid w:val="1962590E"/>
    <w:rsid w:val="1CA3597A"/>
    <w:rsid w:val="201A547A"/>
    <w:rsid w:val="229B38D8"/>
    <w:rsid w:val="24E32085"/>
    <w:rsid w:val="28344C8F"/>
    <w:rsid w:val="2B8A5251"/>
    <w:rsid w:val="4071428C"/>
    <w:rsid w:val="434E1BE0"/>
    <w:rsid w:val="4A2B685E"/>
    <w:rsid w:val="53B54FFD"/>
    <w:rsid w:val="5F303D74"/>
    <w:rsid w:val="604607DF"/>
    <w:rsid w:val="60F430BD"/>
    <w:rsid w:val="61F1004F"/>
    <w:rsid w:val="78DF4423"/>
  </w:rsids>
  <m:mathPr>
    <m:lMargin m:val="0"/>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qFormat/>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4">
    <w:name w:val="toc 1"/>
    <w:basedOn w:val="1"/>
    <w:next w:val="1"/>
    <w:qFormat/>
    <w:uiPriority w:val="0"/>
    <w:rPr>
      <w:rFonts w:ascii="Times New Roman" w:hAnsi="Times New Roman" w:eastAsia="宋体" w:cs="Times New Roman"/>
      <w:szCs w:val="24"/>
    </w:rPr>
  </w:style>
  <w:style w:type="paragraph" w:styleId="5">
    <w:name w:val="toc 2"/>
    <w:basedOn w:val="1"/>
    <w:next w:val="1"/>
    <w:qFormat/>
    <w:uiPriority w:val="0"/>
    <w:pPr>
      <w:ind w:left="200" w:leftChars="200"/>
    </w:pPr>
    <w:rPr>
      <w:rFonts w:ascii="Times New Roman" w:hAnsi="Times New Roman" w:eastAsia="宋体" w:cs="Times New Roman"/>
      <w:szCs w:val="24"/>
    </w:rPr>
  </w:style>
  <w:style w:type="paragraph" w:customStyle="1" w:styleId="8">
    <w:name w:val="Default"/>
    <w:qFormat/>
    <w:uiPriority w:val="0"/>
    <w:pPr>
      <w:widowControl w:val="0"/>
      <w:autoSpaceDE w:val="0"/>
      <w:autoSpaceDN w:val="0"/>
      <w:adjustRightInd w:val="0"/>
    </w:pPr>
    <w:rPr>
      <w:rFonts w:ascii="Times New Roman" w:hAnsi="Times New Roman" w:cs="Times New Roman" w:eastAsiaTheme="minorEastAsia"/>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13</Pages>
  <Words>4438</Words>
  <Characters>5002</Characters>
  <Lines>828</Lines>
  <Paragraphs>406</Paragraphs>
  <ScaleCrop>false</ScaleCrop>
  <LinksUpToDate>false</LinksUpToDate>
  <CharactersWithSpaces>5018</CharactersWithSpaces>
  <Application>WPS Office_10.1.0.6260_F1E327BC-269C-435d-A152-05C5408002CA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2017-01-13T03:22:00Z</dcterms:created>
  <dc:creator>guest</dc:creator>
  <cp:lastModifiedBy>Administrator</cp:lastModifiedBy>
  <dcterms:modified xsi:type="dcterms:W3CDTF">2018-06-11T01:09:51Z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